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0157" w14:textId="77777777" w:rsidR="00942810" w:rsidRPr="00942810" w:rsidRDefault="00942810" w:rsidP="00942810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Executive Summary</w:t>
      </w:r>
    </w:p>
    <w:p w14:paraId="0E6C3AD4" w14:textId="77777777" w:rsidR="00942810" w:rsidRPr="00942810" w:rsidRDefault="00942810" w:rsidP="00942810">
      <w:p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Apex Precision Components (APC) faces a critical choice: retrench into a constrained legacy infrastructure or modernize to capture the $8M projected revenue from </w:t>
      </w:r>
      <w:proofErr w:type="spellStart"/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SmartLogistics</w:t>
      </w:r>
      <w:proofErr w:type="spellEnd"/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Solutions (SLS). With storage at 70% capacity, hardware averaging 4.5 years old, and a rigid July 2026 deadline, the current path is unsustainable.</w:t>
      </w:r>
    </w:p>
    <w:p w14:paraId="691990C8" w14:textId="77777777" w:rsidR="00942810" w:rsidRPr="00942810" w:rsidRDefault="00942810" w:rsidP="00942810">
      <w:p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To meet contractual obligations without disrupting the $12,000/hour production line, I recommend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Option 3: Cloud Migration Strategy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 This approach solves immediate capacity limits, aligns with SLS's cloud-native architecture, and protects the manufacturing edge. It shifts IT resources from low-value maintenance to strategic integration.</w:t>
      </w:r>
    </w:p>
    <w:p w14:paraId="14D44A96" w14:textId="77777777" w:rsidR="00942810" w:rsidRPr="00942810" w:rsidRDefault="00942810" w:rsidP="00942810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Analysis: AWS Cloud Adoption Framework (CAF) Perspectives</w:t>
      </w:r>
    </w:p>
    <w:p w14:paraId="2F3E0E9F" w14:textId="77777777" w:rsidR="00942810" w:rsidRPr="00942810" w:rsidRDefault="00942810" w:rsidP="00942810">
      <w:p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 holistic transformation is required to bridge the gap between APC's legacy stability and SLS's innovation across six perspectives:</w:t>
      </w:r>
    </w:p>
    <w:p w14:paraId="7AC3B117" w14:textId="77777777" w:rsidR="00942810" w:rsidRPr="00942810" w:rsidRDefault="00942810" w:rsidP="00942810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Business Perspective: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Our goal to "predict demand patterns" is currently blocked by infrastructure limits. Migrating non-manufacturing workloads unlocks the scalability needed to deliver the "integrated supply chain analytics" product on time. We must bridge the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Innovation Management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gap, shifting focus from maintenance to strategic data monetization.</w:t>
      </w:r>
    </w:p>
    <w:p w14:paraId="406DBC90" w14:textId="77777777" w:rsidR="00942810" w:rsidRPr="00942810" w:rsidRDefault="00942810" w:rsidP="00942810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People Perspective: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Merging SLS’s cloud-native team with APC’s legacy IT requires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Culture Evolution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to prevent operational friction. We must address the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Cloud Fluency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gap by upskilling staff to support high-value integration rather than routine hardware mechanics.</w:t>
      </w:r>
    </w:p>
    <w:p w14:paraId="4CE7A7DE" w14:textId="77777777" w:rsidR="00942810" w:rsidRPr="00942810" w:rsidRDefault="00942810" w:rsidP="00942810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Governance Perspective: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We must shift from a risky $800k capital outlay to a variable </w:t>
      </w:r>
      <w:proofErr w:type="spellStart"/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OpEx</w:t>
      </w:r>
      <w:proofErr w:type="spellEnd"/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model (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Cloud Financial Management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), aligning costs with revenue. Establishing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Risk Management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frameworks for data residency will satisfy automotive client requirements.</w:t>
      </w:r>
    </w:p>
    <w:p w14:paraId="6E1FDB65" w14:textId="088EC77F" w:rsidR="00942810" w:rsidRPr="00942810" w:rsidRDefault="00942810" w:rsidP="00942810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Platform Perspective: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With rack space full, 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on-premises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expansion is a dead end. Cloud migration resolves this via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Provisioning &amp; Orchestration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. To protect manufacturing, we will adopt an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Edge Computing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strategy: keeping real-time MES local for millisecond latency while piping data to the cloud for analysis.</w:t>
      </w:r>
    </w:p>
    <w:p w14:paraId="5730932C" w14:textId="77777777" w:rsidR="00942810" w:rsidRPr="00942810" w:rsidRDefault="00942810" w:rsidP="00942810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Security Perspective: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Cloud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Defense in Depth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(VPCs) offers superior isolation for ITAR data compared to our current physical perimeter, which hinders remote work. A centralized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Identity and Access Management (IAM)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system will resolve fragmentation and secure the hybrid workforce.</w:t>
      </w:r>
    </w:p>
    <w:p w14:paraId="7D8AE4F5" w14:textId="77777777" w:rsidR="00942810" w:rsidRPr="00942810" w:rsidRDefault="00942810" w:rsidP="00942810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Operations Perspective: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Replace the costly Tennessee DR site with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Availability &amp; Continuity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via multi-Region cloud architecture. Unified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Observability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will provide a "single pane of glass" to monitor the hybrid ecosystem.</w:t>
      </w:r>
    </w:p>
    <w:p w14:paraId="547E935F" w14:textId="77777777" w:rsidR="00942810" w:rsidRPr="00942810" w:rsidRDefault="00942810" w:rsidP="00942810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Strategic Recommendation &amp; Comparative Analysis</w:t>
      </w:r>
    </w:p>
    <w:p w14:paraId="16E893D5" w14:textId="77777777" w:rsidR="00942810" w:rsidRPr="00942810" w:rsidRDefault="00942810" w:rsidP="00942810">
      <w:p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I strongly recommend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Option 3: Cloud Migration Strategy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3"/>
        <w:gridCol w:w="1314"/>
        <w:gridCol w:w="7797"/>
      </w:tblGrid>
      <w:tr w:rsidR="00942810" w:rsidRPr="00942810" w14:paraId="6B511D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C1091" w14:textId="77777777" w:rsidR="00942810" w:rsidRPr="00942810" w:rsidRDefault="00942810" w:rsidP="0094281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481BC" w14:textId="77777777" w:rsidR="00942810" w:rsidRPr="00942810" w:rsidRDefault="00942810" w:rsidP="0094281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1FB43" w14:textId="77777777" w:rsidR="00942810" w:rsidRPr="00942810" w:rsidRDefault="00942810" w:rsidP="0094281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Strategic Justification</w:t>
            </w:r>
          </w:p>
        </w:tc>
      </w:tr>
      <w:tr w:rsidR="00942810" w:rsidRPr="00942810" w14:paraId="5633EF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1CB05" w14:textId="77777777" w:rsidR="00942810" w:rsidRPr="00942810" w:rsidRDefault="00942810" w:rsidP="00942810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Option 1: On-Prem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64E77" w14:textId="77777777" w:rsidR="00942810" w:rsidRPr="00942810" w:rsidRDefault="00942810" w:rsidP="00942810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D084B" w14:textId="77777777" w:rsidR="00942810" w:rsidRPr="00942810" w:rsidRDefault="00942810" w:rsidP="0094281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Strategic Misalignment.</w:t>
            </w:r>
            <w:r w:rsidRPr="0094281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 18-month buildout guarantees missing the July 2026 deadline. It forces a cloud-native acquisition backward, reducing the agility we acquired.</w:t>
            </w:r>
          </w:p>
        </w:tc>
      </w:tr>
      <w:tr w:rsidR="00942810" w:rsidRPr="00942810" w14:paraId="14BC1B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D9B4F" w14:textId="77777777" w:rsidR="00942810" w:rsidRPr="00942810" w:rsidRDefault="00942810" w:rsidP="00942810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Option 2: Hybrid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BDDAB" w14:textId="77777777" w:rsidR="00942810" w:rsidRPr="00942810" w:rsidRDefault="00942810" w:rsidP="00942810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3DD43" w14:textId="77777777" w:rsidR="00942810" w:rsidRPr="00942810" w:rsidRDefault="00942810" w:rsidP="0094281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Operational Risk.</w:t>
            </w:r>
            <w:r w:rsidRPr="0094281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Managing two distinct stacks doubles the security surface area and creates a permanent technical and cultural silo, hindering integration.</w:t>
            </w:r>
          </w:p>
        </w:tc>
      </w:tr>
      <w:tr w:rsidR="00942810" w:rsidRPr="00942810" w14:paraId="41DDD6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D6DA6" w14:textId="77777777" w:rsidR="00942810" w:rsidRPr="00942810" w:rsidRDefault="00942810" w:rsidP="00942810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Option 3: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43193" w14:textId="77777777" w:rsidR="00942810" w:rsidRPr="00942810" w:rsidRDefault="00942810" w:rsidP="00942810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EBE0E" w14:textId="77777777" w:rsidR="00942810" w:rsidRPr="00942810" w:rsidRDefault="00942810" w:rsidP="0094281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Strategic Alignment.</w:t>
            </w:r>
            <w:r w:rsidRPr="0094281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Solves the rack/</w:t>
            </w:r>
            <w:proofErr w:type="spellStart"/>
            <w:r w:rsidRPr="0094281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CapEx</w:t>
            </w:r>
            <w:proofErr w:type="spellEnd"/>
            <w:r w:rsidRPr="0094281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crisis instantly. It aligns with the acquisition's tech stack, modernizes legacy IT, and meets the critical timeline.</w:t>
            </w:r>
          </w:p>
        </w:tc>
      </w:tr>
    </w:tbl>
    <w:p w14:paraId="68E8A19E" w14:textId="77777777" w:rsidR="00942810" w:rsidRDefault="00942810" w:rsidP="0094281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768A687B" w14:textId="4418079B" w:rsidR="00942810" w:rsidRPr="00942810" w:rsidRDefault="00942810" w:rsidP="00942810">
      <w:p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Justification: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Option 3 mitigates the CEO's concerns regarding platform reliance not by avoidance, but by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portability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(using Kubernetes containers) and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edge security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 It ensures the factory floor remains independent of internet connectivity while leveraging the cloud for enterprise scale.</w:t>
      </w:r>
    </w:p>
    <w:p w14:paraId="36D72D98" w14:textId="77777777" w:rsidR="00942810" w:rsidRPr="00942810" w:rsidRDefault="00942810" w:rsidP="00942810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Transformation Journey (CAF Roadmap)</w:t>
      </w:r>
    </w:p>
    <w:p w14:paraId="77FD043F" w14:textId="77777777" w:rsidR="00942810" w:rsidRPr="00942810" w:rsidRDefault="00942810" w:rsidP="00942810">
      <w:p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To execute this strategy while managing risk, we will follow the CAF phases:</w:t>
      </w:r>
    </w:p>
    <w:p w14:paraId="4098D188" w14:textId="77777777" w:rsidR="00942810" w:rsidRPr="00942810" w:rsidRDefault="00942810" w:rsidP="007F75B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Envision: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Align leadership on cloud value and business outcomes (Immediate).</w:t>
      </w:r>
    </w:p>
    <w:p w14:paraId="41AB36C8" w14:textId="77777777" w:rsidR="00942810" w:rsidRPr="00942810" w:rsidRDefault="00942810" w:rsidP="007F75B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Align: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Form a Cloud Center of Excellence (</w:t>
      </w:r>
      <w:proofErr w:type="spellStart"/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CCoE</w:t>
      </w:r>
      <w:proofErr w:type="spellEnd"/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 to bridge talent and assess gaps (Month 1).</w:t>
      </w:r>
    </w:p>
    <w:p w14:paraId="60617178" w14:textId="77777777" w:rsidR="00942810" w:rsidRPr="00942810" w:rsidRDefault="00942810" w:rsidP="007F75B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Launch: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Pilot non-critical workloads (Email, Backups) to build confidence (Months 2-3).</w:t>
      </w:r>
    </w:p>
    <w:p w14:paraId="154AE821" w14:textId="77777777" w:rsidR="00942810" w:rsidRPr="00942810" w:rsidRDefault="00942810" w:rsidP="007F75B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Scale: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Migrate ERP and integrate SLS analytics to hit the July 2026 target (Months 4-9).</w:t>
      </w:r>
    </w:p>
    <w:p w14:paraId="6574C719" w14:textId="77777777" w:rsidR="004F482D" w:rsidRPr="00942810" w:rsidRDefault="004F482D" w:rsidP="00942810">
      <w:pPr>
        <w:jc w:val="both"/>
        <w:rPr>
          <w:rFonts w:ascii="Times New Roman" w:hAnsi="Times New Roman" w:cs="Times New Roman"/>
        </w:rPr>
      </w:pPr>
    </w:p>
    <w:sectPr w:rsidR="004F482D" w:rsidRPr="00942810" w:rsidSect="009428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C89"/>
    <w:multiLevelType w:val="multilevel"/>
    <w:tmpl w:val="3CF63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73493D"/>
    <w:multiLevelType w:val="multilevel"/>
    <w:tmpl w:val="BF26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04771"/>
    <w:multiLevelType w:val="multilevel"/>
    <w:tmpl w:val="F86C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9481E"/>
    <w:multiLevelType w:val="multilevel"/>
    <w:tmpl w:val="F506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2404683">
    <w:abstractNumId w:val="1"/>
  </w:num>
  <w:num w:numId="2" w16cid:durableId="449515956">
    <w:abstractNumId w:val="3"/>
  </w:num>
  <w:num w:numId="3" w16cid:durableId="661742783">
    <w:abstractNumId w:val="2"/>
  </w:num>
  <w:num w:numId="4" w16cid:durableId="836073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810"/>
    <w:rsid w:val="000E0409"/>
    <w:rsid w:val="002C1008"/>
    <w:rsid w:val="004F482D"/>
    <w:rsid w:val="007F75B5"/>
    <w:rsid w:val="00942810"/>
    <w:rsid w:val="00A5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F40F"/>
  <w15:chartTrackingRefBased/>
  <w15:docId w15:val="{30043FC4-948C-BD46-BDED-E4D03AFE6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2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2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8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2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744">
    <w:name w:val="citation-744"/>
    <w:basedOn w:val="DefaultParagraphFont"/>
    <w:rsid w:val="00942810"/>
  </w:style>
  <w:style w:type="character" w:customStyle="1" w:styleId="citation-743">
    <w:name w:val="citation-743"/>
    <w:basedOn w:val="DefaultParagraphFont"/>
    <w:rsid w:val="00942810"/>
  </w:style>
  <w:style w:type="character" w:customStyle="1" w:styleId="citation-742">
    <w:name w:val="citation-742"/>
    <w:basedOn w:val="DefaultParagraphFont"/>
    <w:rsid w:val="00942810"/>
  </w:style>
  <w:style w:type="character" w:customStyle="1" w:styleId="citation-741">
    <w:name w:val="citation-741"/>
    <w:basedOn w:val="DefaultParagraphFont"/>
    <w:rsid w:val="00942810"/>
  </w:style>
  <w:style w:type="character" w:customStyle="1" w:styleId="citation-740">
    <w:name w:val="citation-740"/>
    <w:basedOn w:val="DefaultParagraphFont"/>
    <w:rsid w:val="00942810"/>
  </w:style>
  <w:style w:type="character" w:customStyle="1" w:styleId="citation-739">
    <w:name w:val="citation-739"/>
    <w:basedOn w:val="DefaultParagraphFont"/>
    <w:rsid w:val="00942810"/>
  </w:style>
  <w:style w:type="character" w:customStyle="1" w:styleId="citation-738">
    <w:name w:val="citation-738"/>
    <w:basedOn w:val="DefaultParagraphFont"/>
    <w:rsid w:val="00942810"/>
  </w:style>
  <w:style w:type="character" w:customStyle="1" w:styleId="citation-737">
    <w:name w:val="citation-737"/>
    <w:basedOn w:val="DefaultParagraphFont"/>
    <w:rsid w:val="00942810"/>
  </w:style>
  <w:style w:type="character" w:customStyle="1" w:styleId="citation-736">
    <w:name w:val="citation-736"/>
    <w:basedOn w:val="DefaultParagraphFont"/>
    <w:rsid w:val="00942810"/>
  </w:style>
  <w:style w:type="character" w:customStyle="1" w:styleId="citation-735">
    <w:name w:val="citation-735"/>
    <w:basedOn w:val="DefaultParagraphFont"/>
    <w:rsid w:val="00942810"/>
  </w:style>
  <w:style w:type="character" w:customStyle="1" w:styleId="citation-734">
    <w:name w:val="citation-734"/>
    <w:basedOn w:val="DefaultParagraphFont"/>
    <w:rsid w:val="00942810"/>
  </w:style>
  <w:style w:type="character" w:customStyle="1" w:styleId="citation-733">
    <w:name w:val="citation-733"/>
    <w:basedOn w:val="DefaultParagraphFont"/>
    <w:rsid w:val="00942810"/>
  </w:style>
  <w:style w:type="character" w:customStyle="1" w:styleId="citation-732">
    <w:name w:val="citation-732"/>
    <w:basedOn w:val="DefaultParagraphFont"/>
    <w:rsid w:val="00942810"/>
  </w:style>
  <w:style w:type="character" w:customStyle="1" w:styleId="citation-731">
    <w:name w:val="citation-731"/>
    <w:basedOn w:val="DefaultParagraphFont"/>
    <w:rsid w:val="00942810"/>
  </w:style>
  <w:style w:type="character" w:customStyle="1" w:styleId="citation-730">
    <w:name w:val="citation-730"/>
    <w:basedOn w:val="DefaultParagraphFont"/>
    <w:rsid w:val="00942810"/>
  </w:style>
  <w:style w:type="character" w:customStyle="1" w:styleId="citation-729">
    <w:name w:val="citation-729"/>
    <w:basedOn w:val="DefaultParagraphFont"/>
    <w:rsid w:val="00942810"/>
  </w:style>
  <w:style w:type="character" w:customStyle="1" w:styleId="citation-728">
    <w:name w:val="citation-728"/>
    <w:basedOn w:val="DefaultParagraphFont"/>
    <w:rsid w:val="00942810"/>
  </w:style>
  <w:style w:type="character" w:styleId="Strong">
    <w:name w:val="Strong"/>
    <w:basedOn w:val="DefaultParagraphFont"/>
    <w:uiPriority w:val="22"/>
    <w:qFormat/>
    <w:rsid w:val="00942810"/>
    <w:rPr>
      <w:b/>
      <w:bCs/>
    </w:rPr>
  </w:style>
  <w:style w:type="character" w:customStyle="1" w:styleId="citation-727">
    <w:name w:val="citation-727"/>
    <w:basedOn w:val="DefaultParagraphFont"/>
    <w:rsid w:val="00942810"/>
  </w:style>
  <w:style w:type="character" w:customStyle="1" w:styleId="citation-726">
    <w:name w:val="citation-726"/>
    <w:basedOn w:val="DefaultParagraphFont"/>
    <w:rsid w:val="00942810"/>
  </w:style>
  <w:style w:type="character" w:customStyle="1" w:styleId="citation-725">
    <w:name w:val="citation-725"/>
    <w:basedOn w:val="DefaultParagraphFont"/>
    <w:rsid w:val="00942810"/>
  </w:style>
  <w:style w:type="character" w:customStyle="1" w:styleId="citation-724">
    <w:name w:val="citation-724"/>
    <w:basedOn w:val="DefaultParagraphFont"/>
    <w:rsid w:val="00942810"/>
  </w:style>
  <w:style w:type="character" w:customStyle="1" w:styleId="citation-723">
    <w:name w:val="citation-723"/>
    <w:basedOn w:val="DefaultParagraphFont"/>
    <w:rsid w:val="00942810"/>
  </w:style>
  <w:style w:type="character" w:customStyle="1" w:styleId="citation-722">
    <w:name w:val="citation-722"/>
    <w:basedOn w:val="DefaultParagraphFont"/>
    <w:rsid w:val="00942810"/>
  </w:style>
  <w:style w:type="character" w:customStyle="1" w:styleId="citation-721">
    <w:name w:val="citation-721"/>
    <w:basedOn w:val="DefaultParagraphFont"/>
    <w:rsid w:val="00942810"/>
  </w:style>
  <w:style w:type="character" w:customStyle="1" w:styleId="citation-720">
    <w:name w:val="citation-720"/>
    <w:basedOn w:val="DefaultParagraphFont"/>
    <w:rsid w:val="00942810"/>
  </w:style>
  <w:style w:type="character" w:customStyle="1" w:styleId="citation-719">
    <w:name w:val="citation-719"/>
    <w:basedOn w:val="DefaultParagraphFont"/>
    <w:rsid w:val="00942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prabhu Sana</dc:creator>
  <cp:keywords/>
  <dc:description/>
  <cp:lastModifiedBy>Ramana prabhu Sana</cp:lastModifiedBy>
  <cp:revision>2</cp:revision>
  <dcterms:created xsi:type="dcterms:W3CDTF">2025-12-10T02:34:00Z</dcterms:created>
  <dcterms:modified xsi:type="dcterms:W3CDTF">2025-12-10T02:39:00Z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62186BB5-FBBE-4CF6-9820-B59013016898</vt:lpwstr>
  </property>
</Properties>
</file>