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51C0157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Executive Summary</w:t>
      </w:r>
    </w:p>
    <w:p w14:paraId="0E6C3AD4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Apex Precision Components (APC) faces a critical choice: retrench into a constrained legacy infrastructure or modernize to capture the $8M projected revenue from </w:t>
      </w:r>
      <w:proofErr w:type="spellStart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SmartLogistics</w:t>
      </w:r>
      <w:proofErr w:type="spellEnd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Solutions (SLS). With storage at 70% capacity, hardware averaging 4.5 years old, and a rigid July 2026 deadline, the current path is unsustainable.</w:t>
      </w:r>
    </w:p>
    <w:p w14:paraId="691990C8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To meet contractual obligations without disrupting the $12,000/hour production line, I recommend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Option 3: Cloud Migration Strategy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This approach solves immediate capacity limits, aligns with SLS's cloud-native architecture, and protects the manufacturing edge. It shifts IT resources from low-value maintenance to strategic integration.</w:t>
      </w:r>
    </w:p>
    <w:p w14:paraId="14D44A96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Analysis: AWS Cloud Adoption Framework (CAF) Perspectives</w:t>
      </w:r>
    </w:p>
    <w:p w14:paraId="2F3E0E9F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A holistic transformation is required to bridge the gap between APC's legacy stability and SLS's innovation across six perspectives:</w:t>
      </w:r>
    </w:p>
    <w:p w14:paraId="7AC3B117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Business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Our goal to "predict demand patterns" is currently blocked by infrastructure limits. Migrating non-manufacturing workloads unlocks the scalability needed to deliver the "integrated supply chain analytics" product on time. We must bridge the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Innovation Management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gap, shifting focus from maintenance to strategic data monetization.</w:t>
      </w:r>
    </w:p>
    <w:p w14:paraId="406DBC90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People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Merging SLS’s cloud-native team with APC’s legacy IT requires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Culture Evolution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to prevent operational friction. We must address the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Cloud Fluency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gap by upskilling staff to support high-value integration rather than routine hardware mechanics.</w:t>
      </w:r>
    </w:p>
    <w:p w14:paraId="4CE7A7DE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Governance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We must shift from a risky $800k capital outlay to a variable </w:t>
      </w:r>
      <w:proofErr w:type="spellStart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OpEx</w:t>
      </w:r>
      <w:proofErr w:type="spellEnd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model (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Cloud Financial Management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), aligning costs with revenue. Establishing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Risk Management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frameworks for data residency will satisfy automotive client requirements.</w:t>
      </w:r>
    </w:p>
    <w:p w14:paraId="6E1FDB65" w14:textId="088EC77F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Platform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With rack space full, 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on-premises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expansion is a dead end. Cloud migration resolves this via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Provisioning &amp; Orchestration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. To protect manufacturing, we will adopt an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Edge Computing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strategy: keeping real-time MES local for millisecond latency while piping data to the cloud for analysis.</w:t>
      </w:r>
    </w:p>
    <w:p w14:paraId="5730932C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Security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Cloud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Defense in Depth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(VPCs) offers superior isolation for ITAR data compared to our current physical perimeter, which hinders remote work. A centralized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Identity and Access Management (IAM)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system will resolve fragmentation and secure the hybrid workforce.</w:t>
      </w:r>
    </w:p>
    <w:p w14:paraId="7D8AE4F5" w14:textId="77777777" w:rsidR="00942810" w:rsidRPr="00942810" w:rsidRDefault="00942810" w:rsidP="00942810">
      <w:pPr>
        <w:numPr>
          <w:ilvl w:val="0"/>
          <w:numId w:val="3"/>
        </w:num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Operations Perspective: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Replace the costly Tennessee DR site with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Availability &amp; Continuity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via multi-Region cloud architecture. Unified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Observability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will provide a "single pane of glass" to monitor the hybrid ecosystem.</w:t>
      </w:r>
    </w:p>
    <w:p w14:paraId="547E935F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Strategic Recommendation &amp; Comparative Analysis</w:t>
      </w:r>
    </w:p>
    <w:p w14:paraId="16E893D5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I strongly recommend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Option 3: Cloud Migration Strategy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73"/>
        <w:gridCol w:w="1314"/>
        <w:gridCol w:w="7797"/>
      </w:tblGrid>
      <w:tr w:rsidR="00942810" w:rsidRPr="00942810" w14:paraId="6B511DD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1091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481BC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Viability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1FB43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Justification</w:t>
            </w:r>
          </w:p>
        </w:tc>
      </w:tr>
      <w:tr w:rsidR="00942810" w:rsidRPr="00942810" w14:paraId="5633EF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F1CB05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 1: On-Prem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064E77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None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FD084B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Misalignment.</w:t>
            </w: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An 18-month buildout guarantees missing the July 2026 deadline. It forces a cloud-native acquisition backward, reducing the agility we acquired.</w:t>
            </w:r>
          </w:p>
        </w:tc>
      </w:tr>
      <w:tr w:rsidR="00942810" w:rsidRPr="00942810" w14:paraId="14BC1BA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7D9B4F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Option 2: Hybrid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BBDDAB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Low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33DD43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Operational Risk.</w:t>
            </w: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Managing two distinct stacks doubles the security surface area and creates a permanent technical and cultural silo, hindering integration.</w:t>
            </w:r>
          </w:p>
        </w:tc>
      </w:tr>
      <w:tr w:rsidR="00942810" w:rsidRPr="00942810" w14:paraId="41DDD6E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7D6DA6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lastRenderedPageBreak/>
              <w:t>Option 3: Cloud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E43193" w14:textId="77777777" w:rsidR="00942810" w:rsidRPr="00942810" w:rsidRDefault="00942810" w:rsidP="00942810">
            <w:pPr>
              <w:spacing w:line="240" w:lineRule="auto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High</w:t>
            </w:r>
          </w:p>
        </w:tc>
        <w:tc>
          <w:tcPr>
            <w:tcW w:w="0" w:type="auto"/>
            <w:tcBorders>
              <w:top w:val="single" w:sz="6" w:space="0" w:color="auto"/>
              <w:left w:val="single" w:sz="6" w:space="0" w:color="auto"/>
              <w:bottom w:val="single" w:sz="6" w:space="0" w:color="auto"/>
              <w:right w:val="single" w:sz="6" w:space="0" w:color="auto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EBE0E" w14:textId="77777777" w:rsidR="00942810" w:rsidRPr="00942810" w:rsidRDefault="00942810" w:rsidP="00942810">
            <w:pPr>
              <w:spacing w:line="240" w:lineRule="auto"/>
              <w:jc w:val="both"/>
              <w:rPr>
                <w:rFonts w:ascii="Times New Roman" w:eastAsia="Times New Roman" w:hAnsi="Times New Roman" w:cs="Times New Roman"/>
                <w:color w:val="1F1F1F"/>
                <w:kern w:val="0"/>
                <w14:ligatures w14:val="none"/>
              </w:rPr>
            </w:pPr>
            <w:r w:rsidRPr="00942810">
              <w:rPr>
                <w:rFonts w:ascii="Times New Roman" w:eastAsia="Times New Roman" w:hAnsi="Times New Roman" w:cs="Times New Roman"/>
                <w:b/>
                <w:bCs/>
                <w:color w:val="1F1F1F"/>
                <w:kern w:val="0"/>
                <w:bdr w:val="none" w:sz="0" w:space="0" w:color="auto" w:frame="1"/>
                <w14:ligatures w14:val="none"/>
              </w:rPr>
              <w:t>Strategic Alignment.</w:t>
            </w:r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Solves the rack/</w:t>
            </w:r>
            <w:proofErr w:type="spellStart"/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>CapEx</w:t>
            </w:r>
            <w:proofErr w:type="spellEnd"/>
            <w:r w:rsidRPr="00942810">
              <w:rPr>
                <w:rFonts w:ascii="Times New Roman" w:eastAsia="Times New Roman" w:hAnsi="Times New Roman" w:cs="Times New Roman"/>
                <w:color w:val="1F1F1F"/>
                <w:kern w:val="0"/>
                <w:bdr w:val="none" w:sz="0" w:space="0" w:color="auto" w:frame="1"/>
                <w14:ligatures w14:val="none"/>
              </w:rPr>
              <w:t xml:space="preserve"> crisis instantly. It aligns with the acquisition's tech stack, modernizes legacy IT, and meets the critical timeline.</w:t>
            </w:r>
          </w:p>
        </w:tc>
      </w:tr>
    </w:tbl>
    <w:p w14:paraId="68E8A19E" w14:textId="77777777" w:rsid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</w:pPr>
    </w:p>
    <w:p w14:paraId="768A687B" w14:textId="4418079B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Justification: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Option 3 mitigates the CEO's concerns regarding platform reliance not by avoidance, but by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portability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(using Kubernetes containers) and </w:t>
      </w: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edge security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. It ensures the factory floor remains independent of internet connectivity while leveraging the cloud for enterprise scale.</w:t>
      </w:r>
    </w:p>
    <w:p w14:paraId="36D72D98" w14:textId="77777777" w:rsidR="00942810" w:rsidRPr="00942810" w:rsidRDefault="00942810" w:rsidP="00942810">
      <w:pPr>
        <w:spacing w:line="240" w:lineRule="auto"/>
        <w:jc w:val="both"/>
        <w:outlineLvl w:val="2"/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sz w:val="27"/>
          <w:szCs w:val="27"/>
          <w:bdr w:val="none" w:sz="0" w:space="0" w:color="auto" w:frame="1"/>
          <w14:ligatures w14:val="none"/>
        </w:rPr>
        <w:t>Transformation Journey (CAF Roadmap)</w:t>
      </w:r>
    </w:p>
    <w:p w14:paraId="77FD043F" w14:textId="77777777" w:rsidR="00942810" w:rsidRPr="00942810" w:rsidRDefault="00942810" w:rsidP="00942810">
      <w:pPr>
        <w:spacing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To execute this strategy while managing risk, we will follow the CAF phases:</w:t>
      </w:r>
    </w:p>
    <w:p w14:paraId="4098D188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Envision: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Align leadership on cloud value and business outcomes (Immediate).</w:t>
      </w:r>
    </w:p>
    <w:p w14:paraId="41AB36C8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Align: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Form a Cloud Center of Excellence (</w:t>
      </w:r>
      <w:proofErr w:type="spellStart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CCoE</w:t>
      </w:r>
      <w:proofErr w:type="spellEnd"/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>) to bridge talent and assess gaps (Month 1).</w:t>
      </w:r>
    </w:p>
    <w:p w14:paraId="60617178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Launch: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Pilot non-critical workloads (Email, Backups) to build confidence (Months 2-3).</w:t>
      </w:r>
    </w:p>
    <w:p w14:paraId="154AE821" w14:textId="77777777" w:rsidR="00942810" w:rsidRPr="00942810" w:rsidRDefault="00942810" w:rsidP="007F75B5">
      <w:pPr>
        <w:numPr>
          <w:ilvl w:val="0"/>
          <w:numId w:val="4"/>
        </w:numPr>
        <w:spacing w:after="0" w:line="240" w:lineRule="auto"/>
        <w:jc w:val="both"/>
        <w:rPr>
          <w:rFonts w:ascii="Times New Roman" w:eastAsia="Times New Roman" w:hAnsi="Times New Roman" w:cs="Times New Roman"/>
          <w:color w:val="1F1F1F"/>
          <w:kern w:val="0"/>
          <w14:ligatures w14:val="none"/>
        </w:rPr>
      </w:pPr>
      <w:r w:rsidRPr="00942810">
        <w:rPr>
          <w:rFonts w:ascii="Times New Roman" w:eastAsia="Times New Roman" w:hAnsi="Times New Roman" w:cs="Times New Roman"/>
          <w:b/>
          <w:bCs/>
          <w:color w:val="1F1F1F"/>
          <w:kern w:val="0"/>
          <w:bdr w:val="none" w:sz="0" w:space="0" w:color="auto" w:frame="1"/>
          <w14:ligatures w14:val="none"/>
        </w:rPr>
        <w:t>Scale:</w:t>
      </w:r>
      <w:r w:rsidRPr="00942810">
        <w:rPr>
          <w:rFonts w:ascii="Times New Roman" w:eastAsia="Times New Roman" w:hAnsi="Times New Roman" w:cs="Times New Roman"/>
          <w:color w:val="1F1F1F"/>
          <w:kern w:val="0"/>
          <w14:ligatures w14:val="none"/>
        </w:rPr>
        <w:t xml:space="preserve"> Migrate ERP and integrate SLS analytics to hit the July 2026 target (Months 4-9).</w:t>
      </w:r>
    </w:p>
    <w:p w14:paraId="6574C719" w14:textId="77777777" w:rsidR="004F482D" w:rsidRPr="00942810" w:rsidRDefault="004F482D" w:rsidP="00942810">
      <w:pPr>
        <w:jc w:val="both"/>
        <w:rPr>
          <w:rFonts w:ascii="Times New Roman" w:hAnsi="Times New Roman" w:cs="Times New Roman"/>
        </w:rPr>
      </w:pPr>
    </w:p>
    <w:sectPr w:rsidR="004F482D" w:rsidRPr="00942810" w:rsidSect="00942810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F13C89"/>
    <w:multiLevelType w:val="multilevel"/>
    <w:tmpl w:val="3CF63D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2D73493D"/>
    <w:multiLevelType w:val="multilevel"/>
    <w:tmpl w:val="BF26AD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4B04771"/>
    <w:multiLevelType w:val="multilevel"/>
    <w:tmpl w:val="F86CD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FC9481E"/>
    <w:multiLevelType w:val="multilevel"/>
    <w:tmpl w:val="F50677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32404683">
    <w:abstractNumId w:val="1"/>
  </w:num>
  <w:num w:numId="2" w16cid:durableId="449515956">
    <w:abstractNumId w:val="3"/>
  </w:num>
  <w:num w:numId="3" w16cid:durableId="661742783">
    <w:abstractNumId w:val="2"/>
  </w:num>
  <w:num w:numId="4" w16cid:durableId="83607307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42810"/>
    <w:rsid w:val="000E0409"/>
    <w:rsid w:val="002C1008"/>
    <w:rsid w:val="004F482D"/>
    <w:rsid w:val="007F75B5"/>
    <w:rsid w:val="00942810"/>
    <w:rsid w:val="00A5507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83F40F"/>
  <w15:chartTrackingRefBased/>
  <w15:docId w15:val="{30043FC4-948C-BD46-BDED-E4D03AFE66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4281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4281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94281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4281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4281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4281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4281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4281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4281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4281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4281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94281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42810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42810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4281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4281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4281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4281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4281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4281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4281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4281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4281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4281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4281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4281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4281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4281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42810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94281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citation-744">
    <w:name w:val="citation-744"/>
    <w:basedOn w:val="DefaultParagraphFont"/>
    <w:rsid w:val="00942810"/>
  </w:style>
  <w:style w:type="character" w:customStyle="1" w:styleId="citation-743">
    <w:name w:val="citation-743"/>
    <w:basedOn w:val="DefaultParagraphFont"/>
    <w:rsid w:val="00942810"/>
  </w:style>
  <w:style w:type="character" w:customStyle="1" w:styleId="citation-742">
    <w:name w:val="citation-742"/>
    <w:basedOn w:val="DefaultParagraphFont"/>
    <w:rsid w:val="00942810"/>
  </w:style>
  <w:style w:type="character" w:customStyle="1" w:styleId="citation-741">
    <w:name w:val="citation-741"/>
    <w:basedOn w:val="DefaultParagraphFont"/>
    <w:rsid w:val="00942810"/>
  </w:style>
  <w:style w:type="character" w:customStyle="1" w:styleId="citation-740">
    <w:name w:val="citation-740"/>
    <w:basedOn w:val="DefaultParagraphFont"/>
    <w:rsid w:val="00942810"/>
  </w:style>
  <w:style w:type="character" w:customStyle="1" w:styleId="citation-739">
    <w:name w:val="citation-739"/>
    <w:basedOn w:val="DefaultParagraphFont"/>
    <w:rsid w:val="00942810"/>
  </w:style>
  <w:style w:type="character" w:customStyle="1" w:styleId="citation-738">
    <w:name w:val="citation-738"/>
    <w:basedOn w:val="DefaultParagraphFont"/>
    <w:rsid w:val="00942810"/>
  </w:style>
  <w:style w:type="character" w:customStyle="1" w:styleId="citation-737">
    <w:name w:val="citation-737"/>
    <w:basedOn w:val="DefaultParagraphFont"/>
    <w:rsid w:val="00942810"/>
  </w:style>
  <w:style w:type="character" w:customStyle="1" w:styleId="citation-736">
    <w:name w:val="citation-736"/>
    <w:basedOn w:val="DefaultParagraphFont"/>
    <w:rsid w:val="00942810"/>
  </w:style>
  <w:style w:type="character" w:customStyle="1" w:styleId="citation-735">
    <w:name w:val="citation-735"/>
    <w:basedOn w:val="DefaultParagraphFont"/>
    <w:rsid w:val="00942810"/>
  </w:style>
  <w:style w:type="character" w:customStyle="1" w:styleId="citation-734">
    <w:name w:val="citation-734"/>
    <w:basedOn w:val="DefaultParagraphFont"/>
    <w:rsid w:val="00942810"/>
  </w:style>
  <w:style w:type="character" w:customStyle="1" w:styleId="citation-733">
    <w:name w:val="citation-733"/>
    <w:basedOn w:val="DefaultParagraphFont"/>
    <w:rsid w:val="00942810"/>
  </w:style>
  <w:style w:type="character" w:customStyle="1" w:styleId="citation-732">
    <w:name w:val="citation-732"/>
    <w:basedOn w:val="DefaultParagraphFont"/>
    <w:rsid w:val="00942810"/>
  </w:style>
  <w:style w:type="character" w:customStyle="1" w:styleId="citation-731">
    <w:name w:val="citation-731"/>
    <w:basedOn w:val="DefaultParagraphFont"/>
    <w:rsid w:val="00942810"/>
  </w:style>
  <w:style w:type="character" w:customStyle="1" w:styleId="citation-730">
    <w:name w:val="citation-730"/>
    <w:basedOn w:val="DefaultParagraphFont"/>
    <w:rsid w:val="00942810"/>
  </w:style>
  <w:style w:type="character" w:customStyle="1" w:styleId="citation-729">
    <w:name w:val="citation-729"/>
    <w:basedOn w:val="DefaultParagraphFont"/>
    <w:rsid w:val="00942810"/>
  </w:style>
  <w:style w:type="character" w:customStyle="1" w:styleId="citation-728">
    <w:name w:val="citation-728"/>
    <w:basedOn w:val="DefaultParagraphFont"/>
    <w:rsid w:val="00942810"/>
  </w:style>
  <w:style w:type="character" w:styleId="Strong">
    <w:name w:val="Strong"/>
    <w:basedOn w:val="DefaultParagraphFont"/>
    <w:uiPriority w:val="22"/>
    <w:qFormat/>
    <w:rsid w:val="00942810"/>
    <w:rPr>
      <w:b/>
      <w:bCs/>
    </w:rPr>
  </w:style>
  <w:style w:type="character" w:customStyle="1" w:styleId="citation-727">
    <w:name w:val="citation-727"/>
    <w:basedOn w:val="DefaultParagraphFont"/>
    <w:rsid w:val="00942810"/>
  </w:style>
  <w:style w:type="character" w:customStyle="1" w:styleId="citation-726">
    <w:name w:val="citation-726"/>
    <w:basedOn w:val="DefaultParagraphFont"/>
    <w:rsid w:val="00942810"/>
  </w:style>
  <w:style w:type="character" w:customStyle="1" w:styleId="citation-725">
    <w:name w:val="citation-725"/>
    <w:basedOn w:val="DefaultParagraphFont"/>
    <w:rsid w:val="00942810"/>
  </w:style>
  <w:style w:type="character" w:customStyle="1" w:styleId="citation-724">
    <w:name w:val="citation-724"/>
    <w:basedOn w:val="DefaultParagraphFont"/>
    <w:rsid w:val="00942810"/>
  </w:style>
  <w:style w:type="character" w:customStyle="1" w:styleId="citation-723">
    <w:name w:val="citation-723"/>
    <w:basedOn w:val="DefaultParagraphFont"/>
    <w:rsid w:val="00942810"/>
  </w:style>
  <w:style w:type="character" w:customStyle="1" w:styleId="citation-722">
    <w:name w:val="citation-722"/>
    <w:basedOn w:val="DefaultParagraphFont"/>
    <w:rsid w:val="00942810"/>
  </w:style>
  <w:style w:type="character" w:customStyle="1" w:styleId="citation-721">
    <w:name w:val="citation-721"/>
    <w:basedOn w:val="DefaultParagraphFont"/>
    <w:rsid w:val="00942810"/>
  </w:style>
  <w:style w:type="character" w:customStyle="1" w:styleId="citation-720">
    <w:name w:val="citation-720"/>
    <w:basedOn w:val="DefaultParagraphFont"/>
    <w:rsid w:val="00942810"/>
  </w:style>
  <w:style w:type="character" w:customStyle="1" w:styleId="citation-719">
    <w:name w:val="citation-719"/>
    <w:basedOn w:val="DefaultParagraphFont"/>
    <w:rsid w:val="0094281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599</Words>
  <Characters>3420</Characters>
  <Application>Microsoft Office Word</Application>
  <DocSecurity>0</DocSecurity>
  <Lines>28</Lines>
  <Paragraphs>8</Paragraphs>
  <ScaleCrop>false</ScaleCrop>
  <Company/>
  <LinksUpToDate>false</LinksUpToDate>
  <CharactersWithSpaces>4011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Ramana prabhu Sana</dc:creator>
  <cp:keywords/>
  <dc:description/>
  <cp:lastModifiedBy>Ramana prabhu Sana</cp:lastModifiedBy>
  <cp:revision>2</cp:revision>
  <cp:lastPrinted>2025-12-10T02:40:00Z</cp:lastPrinted>
  <dcterms:created xsi:type="dcterms:W3CDTF">2025-12-10T02:42:00Z</dcterms:created>
  <dcterms:modified xsi:type="dcterms:W3CDTF">2025-12-10T02:42:00Z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62186BB5-FBBE-4CF6-9820-B59013016898</vt:lpwstr>
  </property>
</Properties>
</file>