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B72C4" w14:textId="77777777" w:rsidR="008329B3" w:rsidRPr="008329B3" w:rsidRDefault="008329B3" w:rsidP="008329B3">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329B3">
        <w:rPr>
          <w:rFonts w:ascii="Times New Roman" w:eastAsia="Times New Roman" w:hAnsi="Times New Roman" w:cs="Times New Roman"/>
          <w:b/>
          <w:bCs/>
          <w:kern w:val="0"/>
          <w:sz w:val="22"/>
          <w:szCs w:val="22"/>
          <w14:ligatures w14:val="none"/>
        </w:rPr>
        <w:t>To:</w:t>
      </w:r>
      <w:r w:rsidRPr="008329B3">
        <w:rPr>
          <w:rFonts w:ascii="Times New Roman" w:eastAsia="Times New Roman" w:hAnsi="Times New Roman" w:cs="Times New Roman"/>
          <w:kern w:val="0"/>
          <w:sz w:val="22"/>
          <w:szCs w:val="22"/>
          <w14:ligatures w14:val="none"/>
        </w:rPr>
        <w:t xml:space="preserve"> Sarah Chen, IT Director, Apex Precision Components (APC)</w:t>
      </w:r>
      <w:r w:rsidRPr="008329B3">
        <w:rPr>
          <w:rFonts w:ascii="Times New Roman" w:eastAsia="Times New Roman" w:hAnsi="Times New Roman" w:cs="Times New Roman"/>
          <w:kern w:val="0"/>
          <w:sz w:val="22"/>
          <w:szCs w:val="22"/>
          <w14:ligatures w14:val="none"/>
        </w:rPr>
        <w:br/>
      </w:r>
      <w:r w:rsidRPr="008329B3">
        <w:rPr>
          <w:rFonts w:ascii="Times New Roman" w:eastAsia="Times New Roman" w:hAnsi="Times New Roman" w:cs="Times New Roman"/>
          <w:b/>
          <w:bCs/>
          <w:kern w:val="0"/>
          <w:sz w:val="22"/>
          <w:szCs w:val="22"/>
          <w14:ligatures w14:val="none"/>
        </w:rPr>
        <w:t>From:</w:t>
      </w:r>
      <w:r w:rsidRPr="008329B3">
        <w:rPr>
          <w:rFonts w:ascii="Times New Roman" w:eastAsia="Times New Roman" w:hAnsi="Times New Roman" w:cs="Times New Roman"/>
          <w:kern w:val="0"/>
          <w:sz w:val="22"/>
          <w:szCs w:val="22"/>
          <w14:ligatures w14:val="none"/>
        </w:rPr>
        <w:t xml:space="preserve"> [Your Name/Consultant]</w:t>
      </w:r>
      <w:r w:rsidRPr="008329B3">
        <w:rPr>
          <w:rFonts w:ascii="Times New Roman" w:eastAsia="Times New Roman" w:hAnsi="Times New Roman" w:cs="Times New Roman"/>
          <w:kern w:val="0"/>
          <w:sz w:val="22"/>
          <w:szCs w:val="22"/>
          <w14:ligatures w14:val="none"/>
        </w:rPr>
        <w:br/>
      </w:r>
      <w:r w:rsidRPr="008329B3">
        <w:rPr>
          <w:rFonts w:ascii="Times New Roman" w:eastAsia="Times New Roman" w:hAnsi="Times New Roman" w:cs="Times New Roman"/>
          <w:b/>
          <w:bCs/>
          <w:kern w:val="0"/>
          <w:sz w:val="22"/>
          <w:szCs w:val="22"/>
          <w14:ligatures w14:val="none"/>
        </w:rPr>
        <w:t>Date:</w:t>
      </w:r>
      <w:r w:rsidRPr="008329B3">
        <w:rPr>
          <w:rFonts w:ascii="Times New Roman" w:eastAsia="Times New Roman" w:hAnsi="Times New Roman" w:cs="Times New Roman"/>
          <w:kern w:val="0"/>
          <w:sz w:val="22"/>
          <w:szCs w:val="22"/>
          <w14:ligatures w14:val="none"/>
        </w:rPr>
        <w:t xml:space="preserve"> October 12, 2025</w:t>
      </w:r>
      <w:r w:rsidRPr="008329B3">
        <w:rPr>
          <w:rFonts w:ascii="Times New Roman" w:eastAsia="Times New Roman" w:hAnsi="Times New Roman" w:cs="Times New Roman"/>
          <w:kern w:val="0"/>
          <w:sz w:val="22"/>
          <w:szCs w:val="22"/>
          <w14:ligatures w14:val="none"/>
        </w:rPr>
        <w:br/>
      </w:r>
      <w:r w:rsidRPr="008329B3">
        <w:rPr>
          <w:rFonts w:ascii="Times New Roman" w:eastAsia="Times New Roman" w:hAnsi="Times New Roman" w:cs="Times New Roman"/>
          <w:b/>
          <w:bCs/>
          <w:kern w:val="0"/>
          <w:sz w:val="22"/>
          <w:szCs w:val="22"/>
          <w14:ligatures w14:val="none"/>
        </w:rPr>
        <w:t>Subject:</w:t>
      </w:r>
      <w:r w:rsidRPr="008329B3">
        <w:rPr>
          <w:rFonts w:ascii="Times New Roman" w:eastAsia="Times New Roman" w:hAnsi="Times New Roman" w:cs="Times New Roman"/>
          <w:kern w:val="0"/>
          <w:sz w:val="22"/>
          <w:szCs w:val="22"/>
          <w14:ligatures w14:val="none"/>
        </w:rPr>
        <w:t xml:space="preserve"> Strategic Recommendation for APC–SLS Integration: A Hybrid Approach</w:t>
      </w:r>
    </w:p>
    <w:p w14:paraId="7CCE8A2A" w14:textId="77777777" w:rsidR="008329B3" w:rsidRPr="008329B3" w:rsidRDefault="008329B3" w:rsidP="008329B3">
      <w:p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sidRPr="008329B3">
        <w:rPr>
          <w:rFonts w:ascii="Times New Roman" w:eastAsia="Times New Roman" w:hAnsi="Times New Roman" w:cs="Times New Roman"/>
          <w:b/>
          <w:bCs/>
          <w:kern w:val="0"/>
          <w14:ligatures w14:val="none"/>
        </w:rPr>
        <w:t>Executive Summary</w:t>
      </w:r>
    </w:p>
    <w:p w14:paraId="1A97599B" w14:textId="77777777" w:rsidR="008329B3" w:rsidRPr="008329B3" w:rsidRDefault="008329B3" w:rsidP="008329B3">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8329B3">
        <w:rPr>
          <w:rFonts w:ascii="Times New Roman" w:eastAsia="Times New Roman" w:hAnsi="Times New Roman" w:cs="Times New Roman"/>
          <w:kern w:val="0"/>
          <w:sz w:val="22"/>
          <w:szCs w:val="22"/>
          <w14:ligatures w14:val="none"/>
        </w:rPr>
        <w:t xml:space="preserve">Following the acquisition of </w:t>
      </w:r>
      <w:proofErr w:type="spellStart"/>
      <w:r w:rsidRPr="008329B3">
        <w:rPr>
          <w:rFonts w:ascii="Times New Roman" w:eastAsia="Times New Roman" w:hAnsi="Times New Roman" w:cs="Times New Roman"/>
          <w:kern w:val="0"/>
          <w:sz w:val="22"/>
          <w:szCs w:val="22"/>
          <w14:ligatures w14:val="none"/>
        </w:rPr>
        <w:t>SmartLogistics</w:t>
      </w:r>
      <w:proofErr w:type="spellEnd"/>
      <w:r w:rsidRPr="008329B3">
        <w:rPr>
          <w:rFonts w:ascii="Times New Roman" w:eastAsia="Times New Roman" w:hAnsi="Times New Roman" w:cs="Times New Roman"/>
          <w:kern w:val="0"/>
          <w:sz w:val="22"/>
          <w:szCs w:val="22"/>
          <w14:ligatures w14:val="none"/>
        </w:rPr>
        <w:t xml:space="preserve"> Solutions (SLS), APC faces a critical integration challenge: merging a cloud-native AI/ML platform with a traditional, high-uptime manufacturing environment while navigating strict regulatory compliance and executive constraints. After analyzing the decision framework through the lens of the AWS Cloud Adoption Framework (CAF), </w:t>
      </w:r>
      <w:r w:rsidRPr="008329B3">
        <w:rPr>
          <w:rFonts w:ascii="Times New Roman" w:eastAsia="Times New Roman" w:hAnsi="Times New Roman" w:cs="Times New Roman"/>
          <w:b/>
          <w:bCs/>
          <w:kern w:val="0"/>
          <w:sz w:val="22"/>
          <w:szCs w:val="22"/>
          <w14:ligatures w14:val="none"/>
        </w:rPr>
        <w:t>Option 2: Hybrid Integration</w:t>
      </w:r>
      <w:r w:rsidRPr="008329B3">
        <w:rPr>
          <w:rFonts w:ascii="Times New Roman" w:eastAsia="Times New Roman" w:hAnsi="Times New Roman" w:cs="Times New Roman"/>
          <w:kern w:val="0"/>
          <w:sz w:val="22"/>
          <w:szCs w:val="22"/>
          <w14:ligatures w14:val="none"/>
        </w:rPr>
        <w:t xml:space="preserve"> is the recommended strategic path.</w:t>
      </w:r>
    </w:p>
    <w:p w14:paraId="3B555BD0" w14:textId="77777777" w:rsidR="008329B3" w:rsidRPr="008329B3" w:rsidRDefault="008329B3" w:rsidP="008329B3">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8329B3">
        <w:rPr>
          <w:rFonts w:ascii="Times New Roman" w:eastAsia="Times New Roman" w:hAnsi="Times New Roman" w:cs="Times New Roman"/>
          <w:kern w:val="0"/>
          <w:sz w:val="22"/>
          <w:szCs w:val="22"/>
          <w14:ligatures w14:val="none"/>
        </w:rPr>
        <w:t>This approach balances the immediate need to deliver supply chain analytics by July 2026 against the requirement to protect APC’s $12,000 per hour manufacturing downtime costs. It minimizes disruption to core manufacturing operations while enabling the data integration needed to validate the acquisition and deliver value to customers.</w:t>
      </w:r>
    </w:p>
    <w:p w14:paraId="54AFFF7F" w14:textId="77777777" w:rsidR="008329B3" w:rsidRPr="008329B3" w:rsidRDefault="008329B3" w:rsidP="008329B3">
      <w:p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sidRPr="008329B3">
        <w:rPr>
          <w:rFonts w:ascii="Times New Roman" w:eastAsia="Times New Roman" w:hAnsi="Times New Roman" w:cs="Times New Roman"/>
          <w:b/>
          <w:bCs/>
          <w:kern w:val="0"/>
          <w14:ligatures w14:val="none"/>
        </w:rPr>
        <w:t>Strategic Analysis: The AWS CAF Perspective</w:t>
      </w:r>
    </w:p>
    <w:p w14:paraId="7EE9892B" w14:textId="77777777" w:rsidR="008329B3" w:rsidRPr="008329B3" w:rsidRDefault="008329B3" w:rsidP="008329B3">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8329B3">
        <w:rPr>
          <w:rFonts w:ascii="Times New Roman" w:eastAsia="Times New Roman" w:hAnsi="Times New Roman" w:cs="Times New Roman"/>
          <w:kern w:val="0"/>
          <w:sz w:val="22"/>
          <w:szCs w:val="22"/>
          <w14:ligatures w14:val="none"/>
        </w:rPr>
        <w:t>The AWS Cloud Adoption Framework (CAF) identifies six perspectives to guide digital transformation. The following analysis outlines why a hybrid integration strategy best addresses APC’s specific risks and opportunities across these perspectives.</w:t>
      </w:r>
    </w:p>
    <w:p w14:paraId="60403540" w14:textId="77777777" w:rsidR="008329B3" w:rsidRPr="008329B3" w:rsidRDefault="008329B3" w:rsidP="008329B3">
      <w:pPr>
        <w:spacing w:before="100" w:beforeAutospacing="1" w:after="100" w:afterAutospacing="1" w:line="240" w:lineRule="auto"/>
        <w:jc w:val="both"/>
        <w:outlineLvl w:val="3"/>
        <w:rPr>
          <w:rFonts w:ascii="Times New Roman" w:eastAsia="Times New Roman" w:hAnsi="Times New Roman" w:cs="Times New Roman"/>
          <w:b/>
          <w:bCs/>
          <w:kern w:val="0"/>
          <w:sz w:val="22"/>
          <w:szCs w:val="22"/>
          <w14:ligatures w14:val="none"/>
        </w:rPr>
      </w:pPr>
      <w:r w:rsidRPr="008329B3">
        <w:rPr>
          <w:rFonts w:ascii="Times New Roman" w:eastAsia="Times New Roman" w:hAnsi="Times New Roman" w:cs="Times New Roman"/>
          <w:b/>
          <w:bCs/>
          <w:kern w:val="0"/>
          <w:sz w:val="22"/>
          <w:szCs w:val="22"/>
          <w14:ligatures w14:val="none"/>
        </w:rPr>
        <w:t>1. Business Perspective</w:t>
      </w:r>
    </w:p>
    <w:p w14:paraId="1A47B10B" w14:textId="77777777" w:rsidR="008329B3" w:rsidRPr="008329B3" w:rsidRDefault="008329B3" w:rsidP="008329B3">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8329B3">
        <w:rPr>
          <w:rFonts w:ascii="Times New Roman" w:eastAsia="Times New Roman" w:hAnsi="Times New Roman" w:cs="Times New Roman"/>
          <w:b/>
          <w:bCs/>
          <w:kern w:val="0"/>
          <w:sz w:val="22"/>
          <w:szCs w:val="22"/>
          <w14:ligatures w14:val="none"/>
        </w:rPr>
        <w:t>Strategy Management:</w:t>
      </w:r>
      <w:r w:rsidRPr="008329B3">
        <w:rPr>
          <w:rFonts w:ascii="Times New Roman" w:eastAsia="Times New Roman" w:hAnsi="Times New Roman" w:cs="Times New Roman"/>
          <w:kern w:val="0"/>
          <w:sz w:val="22"/>
          <w:szCs w:val="22"/>
          <w14:ligatures w14:val="none"/>
        </w:rPr>
        <w:t xml:space="preserve"> The primary goal is to accelerate business outcomes by integrating SLS’s supply chain optimization capabilities with APC’s manufacturing expertise. Option 1 (migrating SLS to on-premises) incurs an $800,000 capital expense and an 18-month timeline, which would likely cause APC to miss the July 2026 contract delivery deadline.</w:t>
      </w:r>
    </w:p>
    <w:p w14:paraId="4B5FAFD6" w14:textId="77777777" w:rsidR="008329B3" w:rsidRPr="008329B3" w:rsidRDefault="008329B3" w:rsidP="008329B3">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8329B3">
        <w:rPr>
          <w:rFonts w:ascii="Times New Roman" w:eastAsia="Times New Roman" w:hAnsi="Times New Roman" w:cs="Times New Roman"/>
          <w:b/>
          <w:bCs/>
          <w:kern w:val="0"/>
          <w:sz w:val="22"/>
          <w:szCs w:val="22"/>
          <w14:ligatures w14:val="none"/>
        </w:rPr>
        <w:t>Risk Management:</w:t>
      </w:r>
      <w:r w:rsidRPr="008329B3">
        <w:rPr>
          <w:rFonts w:ascii="Times New Roman" w:eastAsia="Times New Roman" w:hAnsi="Times New Roman" w:cs="Times New Roman"/>
          <w:kern w:val="0"/>
          <w:sz w:val="22"/>
          <w:szCs w:val="22"/>
          <w14:ligatures w14:val="none"/>
        </w:rPr>
        <w:t xml:space="preserve"> A hybrid approach mitigates the business risk of manufacturing downtime. Moving APC’s legacy ERP and MES systems entirely to the cloud (Option 3) immediately puts the shop floor’s 99.7% uptime and low-latency requirements at risk. Hybrid integration allows APC to reduce business risk by keeping critical production systems on reliable local infrastructure while leveraging the cloud for analytics and decision support.</w:t>
      </w:r>
    </w:p>
    <w:p w14:paraId="30E99177" w14:textId="77777777" w:rsidR="008329B3" w:rsidRPr="008329B3" w:rsidRDefault="008329B3" w:rsidP="008329B3">
      <w:pPr>
        <w:spacing w:before="100" w:beforeAutospacing="1" w:after="100" w:afterAutospacing="1" w:line="240" w:lineRule="auto"/>
        <w:jc w:val="both"/>
        <w:outlineLvl w:val="3"/>
        <w:rPr>
          <w:rFonts w:ascii="Times New Roman" w:eastAsia="Times New Roman" w:hAnsi="Times New Roman" w:cs="Times New Roman"/>
          <w:b/>
          <w:bCs/>
          <w:kern w:val="0"/>
          <w:sz w:val="22"/>
          <w:szCs w:val="22"/>
          <w14:ligatures w14:val="none"/>
        </w:rPr>
      </w:pPr>
      <w:r w:rsidRPr="008329B3">
        <w:rPr>
          <w:rFonts w:ascii="Times New Roman" w:eastAsia="Times New Roman" w:hAnsi="Times New Roman" w:cs="Times New Roman"/>
          <w:b/>
          <w:bCs/>
          <w:kern w:val="0"/>
          <w:sz w:val="22"/>
          <w:szCs w:val="22"/>
          <w14:ligatures w14:val="none"/>
        </w:rPr>
        <w:t>2. People Perspective</w:t>
      </w:r>
    </w:p>
    <w:p w14:paraId="0B7E4B37" w14:textId="77777777" w:rsidR="008329B3" w:rsidRPr="008329B3" w:rsidRDefault="008329B3" w:rsidP="008329B3">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8329B3">
        <w:rPr>
          <w:rFonts w:ascii="Times New Roman" w:eastAsia="Times New Roman" w:hAnsi="Times New Roman" w:cs="Times New Roman"/>
          <w:b/>
          <w:bCs/>
          <w:kern w:val="0"/>
          <w:sz w:val="22"/>
          <w:szCs w:val="22"/>
          <w14:ligatures w14:val="none"/>
        </w:rPr>
        <w:t>Culture Evolution:</w:t>
      </w:r>
      <w:r w:rsidRPr="008329B3">
        <w:rPr>
          <w:rFonts w:ascii="Times New Roman" w:eastAsia="Times New Roman" w:hAnsi="Times New Roman" w:cs="Times New Roman"/>
          <w:kern w:val="0"/>
          <w:sz w:val="22"/>
          <w:szCs w:val="22"/>
          <w14:ligatures w14:val="none"/>
        </w:rPr>
        <w:t xml:space="preserve"> APC faces a cultural clash between an executive team that distrusts cloud platforms and a new acquisition built entirely on them. A hybrid model respects the CEO’s philosophy by retaining strong control over core manufacturing data on-premises while gradually demonstrating the reliability and value of cloud services to leadership.</w:t>
      </w:r>
    </w:p>
    <w:p w14:paraId="07182D50" w14:textId="77777777" w:rsidR="008329B3" w:rsidRPr="008329B3" w:rsidRDefault="008329B3" w:rsidP="008329B3">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8329B3">
        <w:rPr>
          <w:rFonts w:ascii="Times New Roman" w:eastAsia="Times New Roman" w:hAnsi="Times New Roman" w:cs="Times New Roman"/>
          <w:b/>
          <w:bCs/>
          <w:kern w:val="0"/>
          <w:sz w:val="22"/>
          <w:szCs w:val="22"/>
          <w14:ligatures w14:val="none"/>
        </w:rPr>
        <w:t>Workforce Transformation:</w:t>
      </w:r>
      <w:r w:rsidRPr="008329B3">
        <w:rPr>
          <w:rFonts w:ascii="Times New Roman" w:eastAsia="Times New Roman" w:hAnsi="Times New Roman" w:cs="Times New Roman"/>
          <w:kern w:val="0"/>
          <w:sz w:val="22"/>
          <w:szCs w:val="22"/>
          <w14:ligatures w14:val="none"/>
        </w:rPr>
        <w:t xml:space="preserve"> Sarah’s team excels in traditional infrastructure but lacks cloud skills, while the SLS team lacks deep manufacturing knowledge. A hybrid transition provides a necessary buffer for cloud fluency training, allowing the existing team to upskill without the immediate pressure of a full-scale lift-and-shift migration.</w:t>
      </w:r>
    </w:p>
    <w:p w14:paraId="458F0F9B" w14:textId="77777777" w:rsidR="008329B3" w:rsidRPr="008329B3" w:rsidRDefault="008329B3" w:rsidP="008329B3">
      <w:pPr>
        <w:spacing w:before="100" w:beforeAutospacing="1" w:after="100" w:afterAutospacing="1" w:line="240" w:lineRule="auto"/>
        <w:jc w:val="both"/>
        <w:outlineLvl w:val="3"/>
        <w:rPr>
          <w:rFonts w:ascii="Times New Roman" w:eastAsia="Times New Roman" w:hAnsi="Times New Roman" w:cs="Times New Roman"/>
          <w:b/>
          <w:bCs/>
          <w:kern w:val="0"/>
          <w:sz w:val="22"/>
          <w:szCs w:val="22"/>
          <w14:ligatures w14:val="none"/>
        </w:rPr>
      </w:pPr>
      <w:r w:rsidRPr="008329B3">
        <w:rPr>
          <w:rFonts w:ascii="Times New Roman" w:eastAsia="Times New Roman" w:hAnsi="Times New Roman" w:cs="Times New Roman"/>
          <w:b/>
          <w:bCs/>
          <w:kern w:val="0"/>
          <w:sz w:val="22"/>
          <w:szCs w:val="22"/>
          <w14:ligatures w14:val="none"/>
        </w:rPr>
        <w:t>3. Governance Perspective</w:t>
      </w:r>
    </w:p>
    <w:p w14:paraId="1C569A55" w14:textId="77777777" w:rsidR="008329B3" w:rsidRPr="008329B3" w:rsidRDefault="008329B3" w:rsidP="008329B3">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8329B3">
        <w:rPr>
          <w:rFonts w:ascii="Times New Roman" w:eastAsia="Times New Roman" w:hAnsi="Times New Roman" w:cs="Times New Roman"/>
          <w:b/>
          <w:bCs/>
          <w:kern w:val="0"/>
          <w:sz w:val="22"/>
          <w:szCs w:val="22"/>
          <w14:ligatures w14:val="none"/>
        </w:rPr>
        <w:t>Data Governance:</w:t>
      </w:r>
      <w:r w:rsidRPr="008329B3">
        <w:rPr>
          <w:rFonts w:ascii="Times New Roman" w:eastAsia="Times New Roman" w:hAnsi="Times New Roman" w:cs="Times New Roman"/>
          <w:kern w:val="0"/>
          <w:sz w:val="22"/>
          <w:szCs w:val="22"/>
          <w14:ligatures w14:val="none"/>
        </w:rPr>
        <w:t xml:space="preserve"> APC must adhere to ITAR compliance and strict automotive NDAs. A hybrid architecture allows APC to exercise specific authority over data residency, ensuring sensitive designs remain on secure, multi-layered on-premises file servers while only non-sensitive telemetry and aggregated data flows to the cloud for analytics.</w:t>
      </w:r>
    </w:p>
    <w:p w14:paraId="416B6D5F" w14:textId="77777777" w:rsidR="008329B3" w:rsidRPr="008329B3" w:rsidRDefault="008329B3" w:rsidP="008329B3">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8329B3">
        <w:rPr>
          <w:rFonts w:ascii="Times New Roman" w:eastAsia="Times New Roman" w:hAnsi="Times New Roman" w:cs="Times New Roman"/>
          <w:b/>
          <w:bCs/>
          <w:kern w:val="0"/>
          <w:sz w:val="22"/>
          <w:szCs w:val="22"/>
          <w14:ligatures w14:val="none"/>
        </w:rPr>
        <w:t>Cloud Financial Management:</w:t>
      </w:r>
      <w:r w:rsidRPr="008329B3">
        <w:rPr>
          <w:rFonts w:ascii="Times New Roman" w:eastAsia="Times New Roman" w:hAnsi="Times New Roman" w:cs="Times New Roman"/>
          <w:kern w:val="0"/>
          <w:sz w:val="22"/>
          <w:szCs w:val="22"/>
          <w14:ligatures w14:val="none"/>
        </w:rPr>
        <w:t xml:space="preserve"> The combined technology budget has surged to $540,000 with mixed cost structures (</w:t>
      </w:r>
      <w:proofErr w:type="spellStart"/>
      <w:r w:rsidRPr="008329B3">
        <w:rPr>
          <w:rFonts w:ascii="Times New Roman" w:eastAsia="Times New Roman" w:hAnsi="Times New Roman" w:cs="Times New Roman"/>
          <w:kern w:val="0"/>
          <w:sz w:val="22"/>
          <w:szCs w:val="22"/>
          <w14:ligatures w14:val="none"/>
        </w:rPr>
        <w:t>CapEx</w:t>
      </w:r>
      <w:proofErr w:type="spellEnd"/>
      <w:r w:rsidRPr="008329B3">
        <w:rPr>
          <w:rFonts w:ascii="Times New Roman" w:eastAsia="Times New Roman" w:hAnsi="Times New Roman" w:cs="Times New Roman"/>
          <w:kern w:val="0"/>
          <w:sz w:val="22"/>
          <w:szCs w:val="22"/>
          <w14:ligatures w14:val="none"/>
        </w:rPr>
        <w:t xml:space="preserve"> vs. </w:t>
      </w:r>
      <w:proofErr w:type="spellStart"/>
      <w:r w:rsidRPr="008329B3">
        <w:rPr>
          <w:rFonts w:ascii="Times New Roman" w:eastAsia="Times New Roman" w:hAnsi="Times New Roman" w:cs="Times New Roman"/>
          <w:kern w:val="0"/>
          <w:sz w:val="22"/>
          <w:szCs w:val="22"/>
          <w14:ligatures w14:val="none"/>
        </w:rPr>
        <w:t>OpEx</w:t>
      </w:r>
      <w:proofErr w:type="spellEnd"/>
      <w:r w:rsidRPr="008329B3">
        <w:rPr>
          <w:rFonts w:ascii="Times New Roman" w:eastAsia="Times New Roman" w:hAnsi="Times New Roman" w:cs="Times New Roman"/>
          <w:kern w:val="0"/>
          <w:sz w:val="22"/>
          <w:szCs w:val="22"/>
          <w14:ligatures w14:val="none"/>
        </w:rPr>
        <w:t>). Implementing governance controls now will allow APC to plan, measure, and optimize the variable cloud spend of the SLS platform before it grows unpredictably, supporting the Finance team’s desire for more predictable costs.</w:t>
      </w:r>
    </w:p>
    <w:p w14:paraId="514F9BB8" w14:textId="77777777" w:rsidR="008329B3" w:rsidRPr="008329B3" w:rsidRDefault="008329B3" w:rsidP="008329B3">
      <w:pPr>
        <w:spacing w:before="100" w:beforeAutospacing="1" w:after="100" w:afterAutospacing="1" w:line="240" w:lineRule="auto"/>
        <w:jc w:val="both"/>
        <w:outlineLvl w:val="3"/>
        <w:rPr>
          <w:rFonts w:ascii="Times New Roman" w:eastAsia="Times New Roman" w:hAnsi="Times New Roman" w:cs="Times New Roman"/>
          <w:b/>
          <w:bCs/>
          <w:kern w:val="0"/>
          <w:sz w:val="22"/>
          <w:szCs w:val="22"/>
          <w14:ligatures w14:val="none"/>
        </w:rPr>
      </w:pPr>
      <w:r w:rsidRPr="008329B3">
        <w:rPr>
          <w:rFonts w:ascii="Times New Roman" w:eastAsia="Times New Roman" w:hAnsi="Times New Roman" w:cs="Times New Roman"/>
          <w:b/>
          <w:bCs/>
          <w:kern w:val="0"/>
          <w:sz w:val="22"/>
          <w:szCs w:val="22"/>
          <w14:ligatures w14:val="none"/>
        </w:rPr>
        <w:t>4. Platform Perspective</w:t>
      </w:r>
    </w:p>
    <w:p w14:paraId="7615C33F" w14:textId="77777777" w:rsidR="008329B3" w:rsidRPr="008329B3" w:rsidRDefault="008329B3" w:rsidP="008329B3">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8329B3">
        <w:rPr>
          <w:rFonts w:ascii="Times New Roman" w:eastAsia="Times New Roman" w:hAnsi="Times New Roman" w:cs="Times New Roman"/>
          <w:b/>
          <w:bCs/>
          <w:kern w:val="0"/>
          <w:sz w:val="22"/>
          <w:szCs w:val="22"/>
          <w14:ligatures w14:val="none"/>
        </w:rPr>
        <w:lastRenderedPageBreak/>
        <w:t>Platform Architecture:</w:t>
      </w:r>
      <w:r w:rsidRPr="008329B3">
        <w:rPr>
          <w:rFonts w:ascii="Times New Roman" w:eastAsia="Times New Roman" w:hAnsi="Times New Roman" w:cs="Times New Roman"/>
          <w:kern w:val="0"/>
          <w:sz w:val="22"/>
          <w:szCs w:val="22"/>
          <w14:ligatures w14:val="none"/>
        </w:rPr>
        <w:t xml:space="preserve"> The immediate technical challenge is connecting on-premises SAP Business One and MES systems to the cloud-based SLS analytics platform. A hybrid platform architecture establishes the necessary guidelines, principles, patterns, and guardrails to securely bridge these environments. This avoids the need to re-architect SLS’s containerized microservices for an incompatible on-prem environment in the short term.</w:t>
      </w:r>
    </w:p>
    <w:p w14:paraId="3BF04D2F" w14:textId="77777777" w:rsidR="008329B3" w:rsidRPr="008329B3" w:rsidRDefault="008329B3" w:rsidP="008329B3">
      <w:pPr>
        <w:spacing w:before="100" w:beforeAutospacing="1" w:after="100" w:afterAutospacing="1" w:line="240" w:lineRule="auto"/>
        <w:jc w:val="both"/>
        <w:outlineLvl w:val="3"/>
        <w:rPr>
          <w:rFonts w:ascii="Times New Roman" w:eastAsia="Times New Roman" w:hAnsi="Times New Roman" w:cs="Times New Roman"/>
          <w:b/>
          <w:bCs/>
          <w:kern w:val="0"/>
          <w:sz w:val="22"/>
          <w:szCs w:val="22"/>
          <w14:ligatures w14:val="none"/>
        </w:rPr>
      </w:pPr>
      <w:r w:rsidRPr="008329B3">
        <w:rPr>
          <w:rFonts w:ascii="Times New Roman" w:eastAsia="Times New Roman" w:hAnsi="Times New Roman" w:cs="Times New Roman"/>
          <w:b/>
          <w:bCs/>
          <w:kern w:val="0"/>
          <w:sz w:val="22"/>
          <w:szCs w:val="22"/>
          <w14:ligatures w14:val="none"/>
        </w:rPr>
        <w:t>5. Security Perspective</w:t>
      </w:r>
    </w:p>
    <w:p w14:paraId="0CCDE350" w14:textId="77777777" w:rsidR="008329B3" w:rsidRPr="008329B3" w:rsidRDefault="008329B3" w:rsidP="008329B3">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8329B3">
        <w:rPr>
          <w:rFonts w:ascii="Times New Roman" w:eastAsia="Times New Roman" w:hAnsi="Times New Roman" w:cs="Times New Roman"/>
          <w:b/>
          <w:bCs/>
          <w:kern w:val="0"/>
          <w:sz w:val="22"/>
          <w:szCs w:val="22"/>
          <w14:ligatures w14:val="none"/>
        </w:rPr>
        <w:t>Identity and Access Management (IAM):</w:t>
      </w:r>
      <w:r w:rsidRPr="008329B3">
        <w:rPr>
          <w:rFonts w:ascii="Times New Roman" w:eastAsia="Times New Roman" w:hAnsi="Times New Roman" w:cs="Times New Roman"/>
          <w:kern w:val="0"/>
          <w:sz w:val="22"/>
          <w:szCs w:val="22"/>
          <w14:ligatures w14:val="none"/>
        </w:rPr>
        <w:t xml:space="preserve"> APC relies heavily on physical access controls and network perimeters, whereas SLS uses cloud-native IAM. The hybrid approach requires a federated identity solution to unify these disparate security paradigms and provide consistent access control across both environments.</w:t>
      </w:r>
    </w:p>
    <w:p w14:paraId="5196225E" w14:textId="77777777" w:rsidR="008329B3" w:rsidRPr="008329B3" w:rsidRDefault="008329B3" w:rsidP="008329B3">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8329B3">
        <w:rPr>
          <w:rFonts w:ascii="Times New Roman" w:eastAsia="Times New Roman" w:hAnsi="Times New Roman" w:cs="Times New Roman"/>
          <w:b/>
          <w:bCs/>
          <w:kern w:val="0"/>
          <w:sz w:val="22"/>
          <w:szCs w:val="22"/>
          <w14:ligatures w14:val="none"/>
        </w:rPr>
        <w:t>Security Assurance:</w:t>
      </w:r>
      <w:r w:rsidRPr="008329B3">
        <w:rPr>
          <w:rFonts w:ascii="Times New Roman" w:eastAsia="Times New Roman" w:hAnsi="Times New Roman" w:cs="Times New Roman"/>
          <w:kern w:val="0"/>
          <w:sz w:val="22"/>
          <w:szCs w:val="22"/>
          <w14:ligatures w14:val="none"/>
        </w:rPr>
        <w:t xml:space="preserve"> To satisfy automotive customers with specific data residency guarantees, APC must maintain visibility and control over where data is stored and processed. A hybrid model allows APC to validate that systems and services are appropriately protected by keeping sensitive customer specifications behind the physical firewall while utilizing the cloud for processing anonymized or less sensitive supply chain data.</w:t>
      </w:r>
    </w:p>
    <w:p w14:paraId="07B153BB" w14:textId="77777777" w:rsidR="008329B3" w:rsidRPr="008329B3" w:rsidRDefault="008329B3" w:rsidP="008329B3">
      <w:pPr>
        <w:spacing w:before="100" w:beforeAutospacing="1" w:after="100" w:afterAutospacing="1" w:line="240" w:lineRule="auto"/>
        <w:jc w:val="both"/>
        <w:outlineLvl w:val="3"/>
        <w:rPr>
          <w:rFonts w:ascii="Times New Roman" w:eastAsia="Times New Roman" w:hAnsi="Times New Roman" w:cs="Times New Roman"/>
          <w:b/>
          <w:bCs/>
          <w:kern w:val="0"/>
          <w:sz w:val="22"/>
          <w:szCs w:val="22"/>
          <w14:ligatures w14:val="none"/>
        </w:rPr>
      </w:pPr>
      <w:r w:rsidRPr="008329B3">
        <w:rPr>
          <w:rFonts w:ascii="Times New Roman" w:eastAsia="Times New Roman" w:hAnsi="Times New Roman" w:cs="Times New Roman"/>
          <w:b/>
          <w:bCs/>
          <w:kern w:val="0"/>
          <w:sz w:val="22"/>
          <w:szCs w:val="22"/>
          <w14:ligatures w14:val="none"/>
        </w:rPr>
        <w:t>6. Operations Perspective</w:t>
      </w:r>
    </w:p>
    <w:p w14:paraId="38E5EFC5" w14:textId="77777777" w:rsidR="008329B3" w:rsidRPr="008329B3" w:rsidRDefault="008329B3" w:rsidP="008329B3">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8329B3">
        <w:rPr>
          <w:rFonts w:ascii="Times New Roman" w:eastAsia="Times New Roman" w:hAnsi="Times New Roman" w:cs="Times New Roman"/>
          <w:b/>
          <w:bCs/>
          <w:kern w:val="0"/>
          <w:sz w:val="22"/>
          <w:szCs w:val="22"/>
          <w14:ligatures w14:val="none"/>
        </w:rPr>
        <w:t>Availability and Continuity:</w:t>
      </w:r>
      <w:r w:rsidRPr="008329B3">
        <w:rPr>
          <w:rFonts w:ascii="Times New Roman" w:eastAsia="Times New Roman" w:hAnsi="Times New Roman" w:cs="Times New Roman"/>
          <w:kern w:val="0"/>
          <w:sz w:val="22"/>
          <w:szCs w:val="22"/>
          <w14:ligatures w14:val="none"/>
        </w:rPr>
        <w:t xml:space="preserve"> With manufacturing losses of $12,000 per hour, availability is paramount. The hybrid model ensures that business-critical information, applications, and services on the shop floor remain unaffected by internet connectivity issues or cloud outages, since core control systems stay local.</w:t>
      </w:r>
    </w:p>
    <w:p w14:paraId="682C334D" w14:textId="77777777" w:rsidR="008329B3" w:rsidRPr="008329B3" w:rsidRDefault="008329B3" w:rsidP="008329B3">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8329B3">
        <w:rPr>
          <w:rFonts w:ascii="Times New Roman" w:eastAsia="Times New Roman" w:hAnsi="Times New Roman" w:cs="Times New Roman"/>
          <w:b/>
          <w:bCs/>
          <w:kern w:val="0"/>
          <w:sz w:val="22"/>
          <w:szCs w:val="22"/>
          <w14:ligatures w14:val="none"/>
        </w:rPr>
        <w:t>Observability:</w:t>
      </w:r>
      <w:r w:rsidRPr="008329B3">
        <w:rPr>
          <w:rFonts w:ascii="Times New Roman" w:eastAsia="Times New Roman" w:hAnsi="Times New Roman" w:cs="Times New Roman"/>
          <w:kern w:val="0"/>
          <w:sz w:val="22"/>
          <w:szCs w:val="22"/>
          <w14:ligatures w14:val="none"/>
        </w:rPr>
        <w:t xml:space="preserve"> Sarah’s team is currently reactive, spending too much time on maintenance. Adopting cloud-based observability tools for the SLS workload can provide a single pane of glass to eventually monitor the health of both on-prem and cloud assets, reducing operational burden and improving incident response over time.</w:t>
      </w:r>
    </w:p>
    <w:p w14:paraId="02B90FE8" w14:textId="77777777" w:rsidR="008329B3" w:rsidRPr="008329B3" w:rsidRDefault="008329B3" w:rsidP="008329B3">
      <w:p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sidRPr="008329B3">
        <w:rPr>
          <w:rFonts w:ascii="Times New Roman" w:eastAsia="Times New Roman" w:hAnsi="Times New Roman" w:cs="Times New Roman"/>
          <w:b/>
          <w:bCs/>
          <w:kern w:val="0"/>
          <w14:ligatures w14:val="none"/>
        </w:rPr>
        <w:t>Conclusion and Recommendation</w:t>
      </w:r>
    </w:p>
    <w:p w14:paraId="79B73A10" w14:textId="0AA151E4" w:rsidR="008329B3" w:rsidRPr="008329B3" w:rsidRDefault="008329B3" w:rsidP="0011027F">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8329B3">
        <w:rPr>
          <w:rFonts w:ascii="Times New Roman" w:eastAsia="Times New Roman" w:hAnsi="Times New Roman" w:cs="Times New Roman"/>
          <w:b/>
          <w:bCs/>
          <w:kern w:val="0"/>
          <w:sz w:val="22"/>
          <w:szCs w:val="22"/>
          <w14:ligatures w14:val="none"/>
        </w:rPr>
        <w:t>Option 2 (Hybrid Integration)</w:t>
      </w:r>
      <w:r w:rsidRPr="008329B3">
        <w:rPr>
          <w:rFonts w:ascii="Times New Roman" w:eastAsia="Times New Roman" w:hAnsi="Times New Roman" w:cs="Times New Roman"/>
          <w:kern w:val="0"/>
          <w:sz w:val="22"/>
          <w:szCs w:val="22"/>
          <w14:ligatures w14:val="none"/>
        </w:rPr>
        <w:t xml:space="preserve"> is the most practical path to meet the July 2026 delivery mandate while aligning with APC’s current risk tolerance and cultural realities. It avoids the prohibitive delay and capital outlay of Option 1 and the unacceptable operational risk of immediately moving all manufacturing systems to the cloud under Option 3. This approach validates the innovation potential of the SLS acquisition while giving APC time to mature its workforce, governance, and platform capabilities for a more comprehensive cloud transformation in the future.</w:t>
      </w:r>
    </w:p>
    <w:p w14:paraId="053B7D0A" w14:textId="28B04AE9" w:rsidR="008329B3" w:rsidRPr="008329B3" w:rsidRDefault="008329B3" w:rsidP="008329B3">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8329B3">
        <w:rPr>
          <w:rFonts w:ascii="Times New Roman" w:eastAsia="Times New Roman" w:hAnsi="Times New Roman" w:cs="Times New Roman"/>
          <w:b/>
          <w:bCs/>
          <w:kern w:val="0"/>
          <w:sz w:val="22"/>
          <w:szCs w:val="22"/>
          <w14:ligatures w14:val="none"/>
        </w:rPr>
        <w:t>AI Usage Disclosure:</w:t>
      </w:r>
      <w:r w:rsidRPr="008329B3">
        <w:rPr>
          <w:rFonts w:ascii="Times New Roman" w:eastAsia="Times New Roman" w:hAnsi="Times New Roman" w:cs="Times New Roman"/>
          <w:kern w:val="0"/>
          <w:sz w:val="22"/>
          <w:szCs w:val="22"/>
          <w14:ligatures w14:val="none"/>
        </w:rPr>
        <w:t xml:space="preserve"> This document was drafted by </w:t>
      </w:r>
      <w:r w:rsidR="00AE5235">
        <w:rPr>
          <w:rFonts w:ascii="Times New Roman" w:eastAsia="Times New Roman" w:hAnsi="Times New Roman" w:cs="Times New Roman"/>
          <w:kern w:val="0"/>
          <w:sz w:val="22"/>
          <w:szCs w:val="22"/>
          <w14:ligatures w14:val="none"/>
        </w:rPr>
        <w:t>me</w:t>
      </w:r>
      <w:r w:rsidRPr="008329B3">
        <w:rPr>
          <w:rFonts w:ascii="Times New Roman" w:eastAsia="Times New Roman" w:hAnsi="Times New Roman" w:cs="Times New Roman"/>
          <w:kern w:val="0"/>
          <w:sz w:val="22"/>
          <w:szCs w:val="22"/>
          <w14:ligatures w14:val="none"/>
        </w:rPr>
        <w:t>. AI tools were used only for grammar, clarity, and alignment with the provided AWS Cloud Adoption Framework definitions. All analysis, recommendations, and option selection are the student’s own work.</w:t>
      </w:r>
    </w:p>
    <w:p w14:paraId="0C5354EB" w14:textId="77777777" w:rsidR="004F482D" w:rsidRPr="00E21448" w:rsidRDefault="004F482D" w:rsidP="008329B3">
      <w:pPr>
        <w:jc w:val="both"/>
        <w:rPr>
          <w:rFonts w:ascii="Times New Roman" w:hAnsi="Times New Roman" w:cs="Times New Roman"/>
          <w:sz w:val="22"/>
          <w:szCs w:val="22"/>
        </w:rPr>
      </w:pPr>
    </w:p>
    <w:sectPr w:rsidR="004F482D" w:rsidRPr="00E21448" w:rsidSect="00E2144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9B3"/>
    <w:rsid w:val="000E0409"/>
    <w:rsid w:val="0011027F"/>
    <w:rsid w:val="002C1008"/>
    <w:rsid w:val="004F482D"/>
    <w:rsid w:val="008329B3"/>
    <w:rsid w:val="009372CE"/>
    <w:rsid w:val="00AE5235"/>
    <w:rsid w:val="00E21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3BCCF"/>
  <w15:chartTrackingRefBased/>
  <w15:docId w15:val="{10552134-59ED-2944-96F5-DDEC1F21E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9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29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29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329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29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29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9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9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9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9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29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29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329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29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29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9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9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9B3"/>
    <w:rPr>
      <w:rFonts w:eastAsiaTheme="majorEastAsia" w:cstheme="majorBidi"/>
      <w:color w:val="272727" w:themeColor="text1" w:themeTint="D8"/>
    </w:rPr>
  </w:style>
  <w:style w:type="paragraph" w:styleId="Title">
    <w:name w:val="Title"/>
    <w:basedOn w:val="Normal"/>
    <w:next w:val="Normal"/>
    <w:link w:val="TitleChar"/>
    <w:uiPriority w:val="10"/>
    <w:qFormat/>
    <w:rsid w:val="008329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9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9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9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9B3"/>
    <w:pPr>
      <w:spacing w:before="160"/>
      <w:jc w:val="center"/>
    </w:pPr>
    <w:rPr>
      <w:i/>
      <w:iCs/>
      <w:color w:val="404040" w:themeColor="text1" w:themeTint="BF"/>
    </w:rPr>
  </w:style>
  <w:style w:type="character" w:customStyle="1" w:styleId="QuoteChar">
    <w:name w:val="Quote Char"/>
    <w:basedOn w:val="DefaultParagraphFont"/>
    <w:link w:val="Quote"/>
    <w:uiPriority w:val="29"/>
    <w:rsid w:val="008329B3"/>
    <w:rPr>
      <w:i/>
      <w:iCs/>
      <w:color w:val="404040" w:themeColor="text1" w:themeTint="BF"/>
    </w:rPr>
  </w:style>
  <w:style w:type="paragraph" w:styleId="ListParagraph">
    <w:name w:val="List Paragraph"/>
    <w:basedOn w:val="Normal"/>
    <w:uiPriority w:val="34"/>
    <w:qFormat/>
    <w:rsid w:val="008329B3"/>
    <w:pPr>
      <w:ind w:left="720"/>
      <w:contextualSpacing/>
    </w:pPr>
  </w:style>
  <w:style w:type="character" w:styleId="IntenseEmphasis">
    <w:name w:val="Intense Emphasis"/>
    <w:basedOn w:val="DefaultParagraphFont"/>
    <w:uiPriority w:val="21"/>
    <w:qFormat/>
    <w:rsid w:val="008329B3"/>
    <w:rPr>
      <w:i/>
      <w:iCs/>
      <w:color w:val="0F4761" w:themeColor="accent1" w:themeShade="BF"/>
    </w:rPr>
  </w:style>
  <w:style w:type="paragraph" w:styleId="IntenseQuote">
    <w:name w:val="Intense Quote"/>
    <w:basedOn w:val="Normal"/>
    <w:next w:val="Normal"/>
    <w:link w:val="IntenseQuoteChar"/>
    <w:uiPriority w:val="30"/>
    <w:qFormat/>
    <w:rsid w:val="008329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29B3"/>
    <w:rPr>
      <w:i/>
      <w:iCs/>
      <w:color w:val="0F4761" w:themeColor="accent1" w:themeShade="BF"/>
    </w:rPr>
  </w:style>
  <w:style w:type="character" w:styleId="IntenseReference">
    <w:name w:val="Intense Reference"/>
    <w:basedOn w:val="DefaultParagraphFont"/>
    <w:uiPriority w:val="32"/>
    <w:qFormat/>
    <w:rsid w:val="008329B3"/>
    <w:rPr>
      <w:b/>
      <w:bCs/>
      <w:smallCaps/>
      <w:color w:val="0F4761" w:themeColor="accent1" w:themeShade="BF"/>
      <w:spacing w:val="5"/>
    </w:rPr>
  </w:style>
  <w:style w:type="paragraph" w:styleId="NormalWeb">
    <w:name w:val="Normal (Web)"/>
    <w:basedOn w:val="Normal"/>
    <w:uiPriority w:val="99"/>
    <w:semiHidden/>
    <w:unhideWhenUsed/>
    <w:rsid w:val="008329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329B3"/>
    <w:rPr>
      <w:b/>
      <w:bCs/>
    </w:rPr>
  </w:style>
  <w:style w:type="character" w:styleId="HTMLCode">
    <w:name w:val="HTML Code"/>
    <w:basedOn w:val="DefaultParagraphFont"/>
    <w:uiPriority w:val="99"/>
    <w:semiHidden/>
    <w:unhideWhenUsed/>
    <w:rsid w:val="008329B3"/>
    <w:rPr>
      <w:rFonts w:ascii="Courier New" w:eastAsia="Times New Roman" w:hAnsi="Courier New" w:cs="Courier New"/>
      <w:sz w:val="20"/>
      <w:szCs w:val="20"/>
    </w:rPr>
  </w:style>
  <w:style w:type="character" w:styleId="Emphasis">
    <w:name w:val="Emphasis"/>
    <w:basedOn w:val="DefaultParagraphFont"/>
    <w:uiPriority w:val="20"/>
    <w:qFormat/>
    <w:rsid w:val="008329B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933</Words>
  <Characters>5321</Characters>
  <Application>Microsoft Office Word</Application>
  <DocSecurity>0</DocSecurity>
  <Lines>44</Lines>
  <Paragraphs>12</Paragraphs>
  <ScaleCrop>false</ScaleCrop>
  <Company/>
  <LinksUpToDate>false</LinksUpToDate>
  <CharactersWithSpaces>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 prabhu Sana</dc:creator>
  <cp:keywords/>
  <dc:description/>
  <cp:lastModifiedBy>Ramana prabhu Sana</cp:lastModifiedBy>
  <cp:revision>4</cp:revision>
  <dcterms:created xsi:type="dcterms:W3CDTF">2025-12-07T10:48:00Z</dcterms:created>
  <dcterms:modified xsi:type="dcterms:W3CDTF">2025-12-07T10:59:00Z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19FE926C-D78E-4BDE-88E5-1A14200B665B</vt:lpwstr>
  </property>
</Properties>
</file>