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E4620"/>
          <w:sz w:val="52"/>
        </w:rPr>
        <w:t>Functional Testing Report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/>
          <w:color w:val="7F8C8D"/>
          <w:sz w:val="28"/>
        </w:rPr>
        <w:t>Feature Specification &amp; Core User Flow Verification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 w:val="0"/>
          <w:color w:val="2B2B2B"/>
          <w:sz w:val="21"/>
        </w:rPr>
        <w:t>Project: FarmCare AI Application Suite</w:t>
        <w:br/>
        <w:t>Date: July 2026</w:t>
        <w:br/>
        <w:t>Version: 1.0.0 (Release Candidate)</w:t>
        <w:br/>
        <w:t>QA Division - Lead Engineer</w:t>
      </w:r>
    </w:p>
    <w:p>
      <w:r>
        <w:br w:type="page"/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1. Functional Testing Scope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Functional testing verifies that the business logic, inputs, buttons, wizard steps, transactions, and user screens execute exactly as defined by the application requirements sheet. The verification covers all user-facing interactions across Google Authentication, Farmer registration, Shop operations, and Admin verification queues.</w:t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2. Execution Metrics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Total cases: 122. Passed: 119. Failed: 3. Blocked: 0. Pass Rate: 97.54%.</w:t>
      </w:r>
    </w:p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Detailed Functional Defect 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Defect ID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 Name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 Failure Description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FC-FUN-004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Farmer Registration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Duplicate Phone validation does not show custom validation error banner in UI; app freezes on submission.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High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FC-FUN-012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Shop Dashboard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Inventory stock status card displays negative values (e.g., -1) when stock level drops below zero.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Medium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FC-FUN-032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Soil Health Card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Potassium calculation fails for values equal to boundary limit (120 mg/kg), defaulting classification to Low.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Medium</w:t>
            </w:r>
          </w:p>
        </w:tc>
      </w:tr>
    </w:tbl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3. Core User Flows Certified</w:t>
      </w:r>
    </w:p>
    <w:p>
      <w:pPr>
        <w:spacing w:after="240"/>
        <w:pBdr>
          <w:bottom w:val="single" w:sz="12" w:space="1" w:color="1E4620"/>
        </w:pBdr>
      </w:pP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B2B2B"/>
          <w:sz w:val="22"/>
        </w:rPr>
        <w:t>Pass</w:t>
      </w:r>
      <w:r>
        <w:rPr>
          <w:rFonts w:ascii="Calibri" w:hAnsi="Calibri"/>
          <w:color w:val="2B2B2B"/>
          <w:sz w:val="22"/>
        </w:rPr>
        <w:t>Farmer Dashboard navigation and screen redirection buttons.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B2B2B"/>
          <w:sz w:val="22"/>
        </w:rPr>
        <w:t>Pass</w:t>
      </w:r>
      <w:r>
        <w:rPr>
          <w:rFonts w:ascii="Calibri" w:hAnsi="Calibri"/>
          <w:color w:val="2B2B2B"/>
          <w:sz w:val="22"/>
        </w:rPr>
        <w:t>Marketplace search filtering, category tabs, and shopping cart additions.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B2B2B"/>
          <w:sz w:val="22"/>
        </w:rPr>
        <w:t>Pass</w:t>
      </w:r>
      <w:r>
        <w:rPr>
          <w:rFonts w:ascii="Calibri" w:hAnsi="Calibri"/>
          <w:color w:val="2B2B2B"/>
          <w:sz w:val="22"/>
        </w:rPr>
        <w:t>Shop checkout processing, cash ordering, and Firestore order status syncing.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B2B2B"/>
          <w:sz w:val="22"/>
        </w:rPr>
        <w:t>Pass</w:t>
      </w:r>
      <w:r>
        <w:rPr>
          <w:rFonts w:ascii="Calibri" w:hAnsi="Calibri"/>
          <w:color w:val="2B2B2B"/>
          <w:sz w:val="22"/>
        </w:rPr>
        <w:t>Crop procurement bid broadcasts and negotiation confirmation cycles.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