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Performance &amp; Resource Utilization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Response Latencies, CPU Overhead, &amp; Memory Stability Audit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Performance Scope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Performance testing verifies the responsiveness, database read latencies, CPU and memory footprint, and image compression optimization of FarmCare AI under heavy processing states.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Execution Metrics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Total cases: 16. Passed: 15. Failed: 0. Blocked: 1. Pass Rate: 100.0% (excluding blocked).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Performance Benchmarks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Performance Parameter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Measured Average Value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Baseline Limit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Offline Leaf Disease Diagnostics (TFLite)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720 ms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&lt; 1000 ms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API Parsing Latency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1200 ms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&lt; 2000 ms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Image Compression Overhead (10MB Image)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250 ms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&lt; 500 ms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Dashboard Load Time (Cached Profiles)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180 ms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&lt; 500 ms</w:t>
            </w:r>
          </w:p>
        </w:tc>
      </w:tr>
    </w:tbl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Blocked Benchmarks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Blocked</w:t>
      </w:r>
      <w:r>
        <w:rPr>
          <w:rFonts w:ascii="Calibri" w:hAnsi="Calibri"/>
          <w:color w:val="2B2B2B"/>
          <w:sz w:val="22"/>
        </w:rPr>
        <w:t>FC-PERF-001: Offline inference benchmark tests blocked on emulator due to lack of GPU/NPU acceleration virtualization on test computer.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