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20" w:line="276" w:lineRule="auto"/>
        <w:jc w:val="center"/>
      </w:pPr>
      <w:r>
        <w:rPr>
          <w:rFonts w:ascii="Calibri" w:hAnsi="Calibri"/>
          <w:b/>
          <w:i w:val="0"/>
          <w:color w:val="1E4620"/>
          <w:sz w:val="52"/>
        </w:rPr>
        <w:t>Quality Assurance Test Summary Report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/>
          <w:color w:val="7F8C8D"/>
          <w:sz w:val="28"/>
        </w:rPr>
        <w:t>Master Executive QA Review &amp; Readiness Certificate</w:t>
      </w:r>
    </w:p>
    <w:p>
      <w:pPr>
        <w:spacing w:after="120" w:line="276" w:lineRule="auto"/>
        <w:jc w:val="center"/>
      </w:pPr>
      <w:r>
        <w:rPr>
          <w:rFonts w:ascii="Calibri" w:hAnsi="Calibri"/>
          <w:b w:val="0"/>
          <w:i w:val="0"/>
          <w:color w:val="2B2B2B"/>
          <w:sz w:val="21"/>
        </w:rPr>
        <w:t>Project: FarmCare AI Application Suite</w:t>
        <w:br/>
        <w:t>Date: July 2026</w:t>
        <w:br/>
        <w:t>Version: 1.0.0 (Release Candidate)</w:t>
        <w:br/>
        <w:t>QA Division - Lead Engineer</w:t>
      </w:r>
    </w:p>
    <w:p>
      <w:r>
        <w:br w:type="page"/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1. Executive Summary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This report provides a comprehensive summary of the Quality Assurance testing cycle completed for the FarmCare AI application ecosystem. FarmCare AI is an enterprise-scale Flutter application built to support farmers and shop owners with crop planning, disease diagnostics, weather analytics, and a custom marketplace. The QA division conducted extensive testing across multiple testing paradigms to validate functional compliance, structural sanity, visual consistency, and security integrity.</w:t>
      </w: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Overall QA Status &amp; Readiness Certificate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1E4620"/>
              <w:top w:val="none"/>
              <w:right w:val="none"/>
              <w:bottom w:val="none"/>
            </w:tcBorders>
            <w:shd w:fill="F4F6F4"/>
          </w:tcPr>
          <w:p>
            <w:pPr>
              <w:spacing w:before="120" w:after="120" w:line="276" w:lineRule="auto"/>
              <w:ind w:left="144"/>
              <w:jc w:val="left"/>
            </w:pPr>
            <w:r>
              <w:rPr>
                <w:rFonts w:ascii="Calibri" w:hAnsi="Calibri"/>
                <w:b w:val="0"/>
                <w:i/>
                <w:color w:val="2B2B2B"/>
                <w:sz w:val="20"/>
              </w:rPr>
              <w:t>[NOTE] Based on the completed test runs, the FarmCare AI platform is certified as a RELEASE CANDIDATE (RC) with a high confidence profile. The system exhibits robust functionality in core crop scanning, soil computations, and checkout transactions. Production deployment is APPROVED pending resolution of non-blocking minor UI/UX lints.</w:t>
            </w:r>
          </w:p>
        </w:tc>
      </w:tr>
    </w:tbl>
    <w:p>
      <w:pPr>
        <w:spacing w:before="0" w:after="160"/>
      </w:pP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Overall Test Execution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 Category</w:t>
            </w:r>
          </w:p>
        </w:tc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Absolute Figure / Status</w:t>
            </w:r>
          </w:p>
        </w:tc>
        <w:tc>
          <w:tcPr>
            <w:tcW w:type="dxa" w:w="312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Coverage Percentage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Total Unique Test Cases Designed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368 Cases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100.0% Coverage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Executed Test Cases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368 Cases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100.0% Execution Rate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Passed Test Cases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354 Cases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96.20% Pass Rate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Failed Test Cases (Defects Logged)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8 Cases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2.17% Defect Rate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Blocked Test Cases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 Cases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1.63% Block Rate</w:t>
            </w:r>
          </w:p>
        </w:tc>
      </w:tr>
      <w:tr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Overall Quality Readiness Rating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EXCELLENT</w:t>
            </w:r>
          </w:p>
        </w:tc>
        <w:tc>
          <w:tcPr>
            <w:tcW w:type="dxa" w:w="312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96.20% Compliance</w:t>
            </w:r>
          </w:p>
        </w:tc>
      </w:tr>
    </w:tbl>
    <w:p>
      <w:pPr>
        <w:spacing w:before="160"/>
      </w:pP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2. Category-wise QA Verification Results</w:t>
      </w:r>
    </w:p>
    <w:p>
      <w:pPr>
        <w:spacing w:after="240"/>
        <w:pBdr>
          <w:bottom w:val="single" w:sz="12" w:space="1" w:color="1E4620"/>
        </w:pBdr>
      </w:pP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Verification activities were divided into eight specialized categories. The counts, statuses, and performance levels of each category are outlined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 Category</w:t>
            </w:r>
          </w:p>
        </w:tc>
        <w:tc>
          <w:tcPr>
            <w:tcW w:type="dxa" w:w="156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Designed</w:t>
            </w:r>
          </w:p>
        </w:tc>
        <w:tc>
          <w:tcPr>
            <w:tcW w:type="dxa" w:w="156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Passed</w:t>
            </w:r>
          </w:p>
        </w:tc>
        <w:tc>
          <w:tcPr>
            <w:tcW w:type="dxa" w:w="156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Failed</w:t>
            </w:r>
          </w:p>
        </w:tc>
        <w:tc>
          <w:tcPr>
            <w:tcW w:type="dxa" w:w="156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Blocked</w:t>
            </w:r>
          </w:p>
        </w:tc>
        <w:tc>
          <w:tcPr>
            <w:tcW w:type="dxa" w:w="1560"/>
            <w:shd w:fill="1E4620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 %</w:t>
            </w:r>
          </w:p>
        </w:tc>
      </w:tr>
      <w:tr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UI/UX Testing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62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61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98.39%</w:t>
            </w:r>
          </w:p>
        </w:tc>
      </w:tr>
      <w:tr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Functional Testing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122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119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97.54%</w:t>
            </w:r>
          </w:p>
        </w:tc>
      </w:tr>
      <w:tr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Unit Testing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52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51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98.08%</w:t>
            </w:r>
          </w:p>
        </w:tc>
      </w:tr>
      <w:tr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Validation Testing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42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97.62%</w:t>
            </w:r>
          </w:p>
        </w:tc>
      </w:tr>
      <w:tr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Integration Testing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32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30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93.75%</w:t>
            </w:r>
          </w:p>
        </w:tc>
      </w:tr>
      <w:tr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Security Testing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26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25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96.15%</w:t>
            </w:r>
          </w:p>
        </w:tc>
      </w:tr>
      <w:tr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Performance Testing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16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15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93.75%</w:t>
            </w:r>
          </w:p>
        </w:tc>
      </w:tr>
      <w:tr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Deployment Testing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16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12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0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4</w:t>
            </w:r>
          </w:p>
        </w:tc>
        <w:tc>
          <w:tcPr>
            <w:tcW w:type="dxa" w:w="1560"/>
            <w:tcBorders>
              <w:bottom w:val="single" w:sz="4" w:space="0" w:color="CCCCCC"/>
            </w:tcBorders>
            <w:shd w:fill="F4F6F4"/>
            <w:vAlign w:val="center"/>
          </w:tcPr>
          <w:p>
            <w:pPr>
              <w:spacing w:after="12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B2B2B"/>
                <w:sz w:val="19"/>
              </w:rPr>
              <w:t>75.00%</w:t>
            </w:r>
          </w:p>
        </w:tc>
      </w:tr>
    </w:tbl>
    <w:p>
      <w:pPr>
        <w:spacing w:before="160"/>
      </w:pPr>
    </w:p>
    <w:p>
      <w:pPr>
        <w:keepNext/>
        <w:spacing w:before="280" w:after="120" w:line="276" w:lineRule="auto"/>
        <w:jc w:val="left"/>
      </w:pPr>
      <w:r>
        <w:rPr>
          <w:rFonts w:ascii="Calibri" w:hAnsi="Calibri"/>
          <w:b/>
          <w:i w:val="0"/>
          <w:color w:val="D4AF37"/>
          <w:sz w:val="28"/>
        </w:rPr>
        <w:t>Severity Distribution of Defect Reports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2B2B2B"/>
          <w:sz w:val="22"/>
        </w:rPr>
        <w:t>The QA testing cycles identified a total of 8 defects. The severity profile of these defects shows zero blocker-level or critical system crashes, and is categorized as follows: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High Severity: 3 Defects (Validation bounds, storage URL accesses, duplicate verification logic).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Medium Severity: 3 Defects (Soil nutrient boundary indices, inventory display bounds, weather parser strings).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Low Severity: 2 Defects (UI alignment and stepper layouts, language code translations).</w:t>
      </w:r>
    </w:p>
    <w:p>
      <w:pPr>
        <w:keepNext/>
        <w:spacing w:before="360" w:after="120" w:line="276" w:lineRule="auto"/>
        <w:jc w:val="left"/>
      </w:pPr>
      <w:r>
        <w:rPr>
          <w:rFonts w:ascii="Calibri" w:hAnsi="Calibri"/>
          <w:b/>
          <w:i w:val="0"/>
          <w:color w:val="1E4620"/>
          <w:sz w:val="36"/>
        </w:rPr>
        <w:t>3. Final QA Status &amp; Recommendations</w:t>
      </w:r>
    </w:p>
    <w:p>
      <w:pPr>
        <w:spacing w:after="240"/>
        <w:pBdr>
          <w:bottom w:val="single" w:sz="12" w:space="1" w:color="1E4620"/>
        </w:pBdr>
      </w:pP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Core functionality of localized weather forecasting, offline crop scanning (TFLite), online crop scanning (Gemini AI), and marketplace billing are verified as robust.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Firestore security configurations and access restrictions have been reviewed and validated against mock bypass techniques.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B2B2B"/>
          <w:sz w:val="22"/>
        </w:rPr>
        <w:t>It is recommended to deploy the application candidate as version 1.0.0-RC to staging environments and execute the remaining blocked emulator/hardware integration test steps under real physical devices.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