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spacing w:after="120" w:line="276" w:lineRule="auto"/>
        <w:jc w:val="center"/>
      </w:pPr>
      <w:r>
        <w:rPr>
          <w:rFonts w:ascii="Calibri" w:hAnsi="Calibri"/>
          <w:b/>
          <w:i w:val="0"/>
          <w:color w:val="1E4620"/>
          <w:sz w:val="52"/>
        </w:rPr>
        <w:t>Security Vulnerability Analysis Report</w:t>
      </w:r>
    </w:p>
    <w:p>
      <w:pPr>
        <w:spacing w:after="120" w:line="276" w:lineRule="auto"/>
        <w:jc w:val="center"/>
      </w:pPr>
      <w:r>
        <w:rPr>
          <w:rFonts w:ascii="Calibri" w:hAnsi="Calibri"/>
          <w:b w:val="0"/>
          <w:i/>
          <w:color w:val="7F8C8D"/>
          <w:sz w:val="28"/>
        </w:rPr>
        <w:t>Access Control, Data Transit, &amp; Firestore Rules Audit</w:t>
      </w:r>
    </w:p>
    <w:p>
      <w:pPr>
        <w:spacing w:after="120" w:line="276" w:lineRule="auto"/>
        <w:jc w:val="center"/>
      </w:pPr>
      <w:r>
        <w:rPr>
          <w:rFonts w:ascii="Calibri" w:hAnsi="Calibri"/>
          <w:b w:val="0"/>
          <w:i w:val="0"/>
          <w:color w:val="2B2B2B"/>
          <w:sz w:val="21"/>
        </w:rPr>
        <w:t>Project: FarmCare AI Application Suite</w:t>
        <w:br/>
        <w:t>Date: July 2026</w:t>
        <w:br/>
        <w:t>Version: 1.0.0 (Release Candidate)</w:t>
        <w:br/>
        <w:t>QA Division - Lead Engineer</w:t>
      </w:r>
    </w:p>
    <w:p>
      <w:r>
        <w:br w:type="page"/>
      </w:r>
    </w:p>
    <w:p>
      <w:pPr>
        <w:keepNext/>
        <w:spacing w:before="360" w:after="120" w:line="276" w:lineRule="auto"/>
        <w:jc w:val="left"/>
      </w:pPr>
      <w:r>
        <w:rPr>
          <w:rFonts w:ascii="Calibri" w:hAnsi="Calibri"/>
          <w:b/>
          <w:i w:val="0"/>
          <w:color w:val="1E4620"/>
          <w:sz w:val="36"/>
        </w:rPr>
        <w:t>1. Security Scope &amp; Methodology</w:t>
      </w:r>
    </w:p>
    <w:p>
      <w:pPr>
        <w:spacing w:after="240"/>
        <w:pBdr>
          <w:bottom w:val="single" w:sz="12" w:space="1" w:color="1E4620"/>
        </w:pBdr>
      </w:pPr>
    </w:p>
    <w:p>
      <w:pPr>
        <w:spacing w:after="120" w:line="276" w:lineRule="auto"/>
        <w:jc w:val="left"/>
      </w:pPr>
      <w:r>
        <w:rPr>
          <w:rFonts w:ascii="Calibri" w:hAnsi="Calibri"/>
          <w:b w:val="0"/>
          <w:i w:val="0"/>
          <w:color w:val="2B2B2B"/>
          <w:sz w:val="22"/>
        </w:rPr>
        <w:t>Security testing verifies that user data is protected, roles are restricted to their authorized actions, and API communication is secure. The audit focused on Firebase Firestore access rules, token transmission safety, and input script injection vulnerabilities.</w:t>
      </w:r>
    </w:p>
    <w:p>
      <w:pPr>
        <w:keepNext/>
        <w:spacing w:before="360" w:after="120" w:line="276" w:lineRule="auto"/>
        <w:jc w:val="left"/>
      </w:pPr>
      <w:r>
        <w:rPr>
          <w:rFonts w:ascii="Calibri" w:hAnsi="Calibri"/>
          <w:b/>
          <w:i w:val="0"/>
          <w:color w:val="1E4620"/>
          <w:sz w:val="36"/>
        </w:rPr>
        <w:t>2. Execution Results</w:t>
      </w:r>
    </w:p>
    <w:p>
      <w:pPr>
        <w:spacing w:after="240"/>
        <w:pBdr>
          <w:bottom w:val="single" w:sz="12" w:space="1" w:color="1E4620"/>
        </w:pBdr>
      </w:pPr>
    </w:p>
    <w:p>
      <w:pPr>
        <w:spacing w:after="120" w:line="276" w:lineRule="auto"/>
        <w:jc w:val="left"/>
      </w:pPr>
      <w:r>
        <w:rPr>
          <w:rFonts w:ascii="Calibri" w:hAnsi="Calibri"/>
          <w:b w:val="0"/>
          <w:i w:val="0"/>
          <w:color w:val="2B2B2B"/>
          <w:sz w:val="22"/>
        </w:rPr>
        <w:t>Total cases: 26. Passed: 25. Failed: 1. Blocked: 0. Pass Rate: 96.15%.</w:t>
      </w:r>
    </w:p>
    <w:p>
      <w:pPr>
        <w:keepNext/>
        <w:spacing w:before="280" w:after="120" w:line="276" w:lineRule="auto"/>
        <w:jc w:val="left"/>
      </w:pPr>
      <w:r>
        <w:rPr>
          <w:rFonts w:ascii="Calibri" w:hAnsi="Calibri"/>
          <w:b/>
          <w:i w:val="0"/>
          <w:color w:val="D4AF37"/>
          <w:sz w:val="28"/>
        </w:rPr>
        <w:t>Identified Security Flaw</w:t>
      </w:r>
    </w:p>
    <w:tbl>
      <w:tblPr>
        <w:tblW w:type="auto" w:w="0"/>
        <w:jc w:val="center"/>
        <w:tblLook w:firstColumn="1" w:firstRow="1" w:lastColumn="0" w:lastRow="0" w:noHBand="0" w:noVBand="1" w:val="04A0"/>
      </w:tblPr>
      <w:tblGrid>
        <w:gridCol w:w="2340"/>
        <w:gridCol w:w="2340"/>
        <w:gridCol w:w="2340"/>
        <w:gridCol w:w="2340"/>
      </w:tblGrid>
      <w:tr>
        <w:tc>
          <w:tcPr>
            <w:tcW w:type="dxa" w:w="2340"/>
            <w:shd w:fill="1E4620"/>
            <w:vAlign w:val="center"/>
          </w:tcPr>
          <w:p>
            <w:pPr>
              <w:spacing w:after="120" w:line="276" w:lineRule="auto"/>
              <w:jc w:val="center"/>
            </w:pPr>
            <w:r/>
            <w:r>
              <w:rPr>
                <w:rFonts w:ascii="Calibri" w:hAnsi="Calibri"/>
                <w:b/>
                <w:i w:val="0"/>
                <w:color w:val="FFFFFF"/>
                <w:sz w:val="20"/>
              </w:rPr>
              <w:t>Defect ID</w:t>
            </w:r>
          </w:p>
        </w:tc>
        <w:tc>
          <w:tcPr>
            <w:tcW w:type="dxa" w:w="2340"/>
            <w:shd w:fill="1E4620"/>
            <w:vAlign w:val="center"/>
          </w:tcPr>
          <w:p>
            <w:pPr>
              <w:spacing w:after="120" w:line="276" w:lineRule="auto"/>
              <w:jc w:val="center"/>
            </w:pPr>
            <w:r/>
            <w:r>
              <w:rPr>
                <w:rFonts w:ascii="Calibri" w:hAnsi="Calibri"/>
                <w:b/>
                <w:i w:val="0"/>
                <w:color w:val="FFFFFF"/>
                <w:sz w:val="20"/>
              </w:rPr>
              <w:t>Target Component</w:t>
            </w:r>
          </w:p>
        </w:tc>
        <w:tc>
          <w:tcPr>
            <w:tcW w:type="dxa" w:w="2340"/>
            <w:shd w:fill="1E4620"/>
            <w:vAlign w:val="center"/>
          </w:tcPr>
          <w:p>
            <w:pPr>
              <w:spacing w:after="120" w:line="276" w:lineRule="auto"/>
              <w:jc w:val="center"/>
            </w:pPr>
            <w:r/>
            <w:r>
              <w:rPr>
                <w:rFonts w:ascii="Calibri" w:hAnsi="Calibri"/>
                <w:b/>
                <w:i w:val="0"/>
                <w:color w:val="FFFFFF"/>
                <w:sz w:val="20"/>
              </w:rPr>
              <w:t>Security Loophole Description</w:t>
            </w:r>
          </w:p>
        </w:tc>
        <w:tc>
          <w:tcPr>
            <w:tcW w:type="dxa" w:w="2340"/>
            <w:shd w:fill="1E4620"/>
            <w:vAlign w:val="center"/>
          </w:tcPr>
          <w:p>
            <w:pPr>
              <w:spacing w:after="120" w:line="276" w:lineRule="auto"/>
              <w:jc w:val="center"/>
            </w:pPr>
            <w:r/>
            <w:r>
              <w:rPr>
                <w:rFonts w:ascii="Calibri" w:hAnsi="Calibri"/>
                <w:b/>
                <w:i w:val="0"/>
                <w:color w:val="FFFFFF"/>
                <w:sz w:val="20"/>
              </w:rPr>
              <w:t>Severity</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FC-SEC-004</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Firebase Storage Rules</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Storage upload rules allow public read access to raw uploaded image URLs (unsigned links).</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High</w:t>
            </w:r>
          </w:p>
        </w:tc>
      </w:tr>
    </w:tbl>
    <w:p>
      <w:pPr>
        <w:keepNext/>
        <w:spacing w:before="360" w:after="120" w:line="276" w:lineRule="auto"/>
        <w:jc w:val="left"/>
      </w:pPr>
      <w:r>
        <w:rPr>
          <w:rFonts w:ascii="Calibri" w:hAnsi="Calibri"/>
          <w:b/>
          <w:i w:val="0"/>
          <w:color w:val="1E4620"/>
          <w:sz w:val="36"/>
        </w:rPr>
        <w:t>3. Security Audit Checklist</w:t>
      </w:r>
    </w:p>
    <w:p>
      <w:pPr>
        <w:spacing w:after="240"/>
        <w:pBdr>
          <w:bottom w:val="single" w:sz="12" w:space="1" w:color="1E4620"/>
        </w:pBdr>
      </w:pPr>
    </w:p>
    <w:p>
      <w:pPr>
        <w:pStyle w:val="ListBullet"/>
        <w:spacing w:after="60" w:line="276" w:lineRule="auto"/>
      </w:pPr>
      <w:r>
        <w:rPr>
          <w:rFonts w:ascii="Calibri" w:hAnsi="Calibri"/>
          <w:b/>
          <w:color w:val="2B2B2B"/>
          <w:sz w:val="22"/>
        </w:rPr>
        <w:t>Pass</w:t>
      </w:r>
      <w:r>
        <w:rPr>
          <w:rFonts w:ascii="Calibri" w:hAnsi="Calibri"/>
          <w:color w:val="2B2B2B"/>
          <w:sz w:val="22"/>
        </w:rPr>
        <w:t>Firestore collection read restriction: Unauthenticated users are successfully blocked from all database CRUD operations.</w:t>
      </w:r>
    </w:p>
    <w:p>
      <w:pPr>
        <w:pStyle w:val="ListBullet"/>
        <w:spacing w:after="60" w:line="276" w:lineRule="auto"/>
      </w:pPr>
      <w:r>
        <w:rPr>
          <w:rFonts w:ascii="Calibri" w:hAnsi="Calibri"/>
          <w:b/>
          <w:color w:val="2B2B2B"/>
          <w:sz w:val="22"/>
        </w:rPr>
        <w:t>Pass</w:t>
      </w:r>
      <w:r>
        <w:rPr>
          <w:rFonts w:ascii="Calibri" w:hAnsi="Calibri"/>
          <w:color w:val="2B2B2B"/>
          <w:sz w:val="22"/>
        </w:rPr>
        <w:t>Admin Collection access rules: Checked that read requests to configuration values reject non-admin tokens.</w:t>
      </w:r>
    </w:p>
    <w:p>
      <w:pPr>
        <w:pStyle w:val="ListBullet"/>
        <w:spacing w:after="60" w:line="276" w:lineRule="auto"/>
      </w:pPr>
      <w:r>
        <w:rPr>
          <w:rFonts w:ascii="Calibri" w:hAnsi="Calibri"/>
          <w:b/>
          <w:color w:val="2B2B2B"/>
          <w:sz w:val="22"/>
        </w:rPr>
        <w:t>Pass</w:t>
      </w:r>
      <w:r>
        <w:rPr>
          <w:rFonts w:ascii="Calibri" w:hAnsi="Calibri"/>
          <w:color w:val="2B2B2B"/>
          <w:sz w:val="22"/>
        </w:rPr>
        <w:t>Network transit protection: All endpoints operate strictly under HTTPS protocols.</w:t>
      </w:r>
    </w:p>
    <w:p>
      <w:pPr>
        <w:pStyle w:val="ListBullet"/>
        <w:spacing w:after="60" w:line="276" w:lineRule="auto"/>
      </w:pPr>
      <w:r>
        <w:rPr>
          <w:rFonts w:ascii="Calibri" w:hAnsi="Calibri"/>
          <w:b/>
          <w:color w:val="2B2B2B"/>
          <w:sz w:val="22"/>
        </w:rPr>
        <w:t>Pass</w:t>
      </w:r>
      <w:r>
        <w:rPr>
          <w:rFonts w:ascii="Calibri" w:hAnsi="Calibri"/>
          <w:color w:val="2B2B2B"/>
          <w:sz w:val="22"/>
        </w:rPr>
        <w:t>SQL / Script injection checks: Input strings are verified to parse cleanly without execution vulnerabilities.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