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4620"/>
          <w:sz w:val="52"/>
        </w:rPr>
        <w:t>UI / UX Testing Analysis Report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/>
          <w:color w:val="7F8C8D"/>
          <w:sz w:val="28"/>
        </w:rPr>
        <w:t>Design System Conformity &amp; Accessibility Audit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2B2B2B"/>
          <w:sz w:val="21"/>
        </w:rPr>
        <w:t>Project: FarmCare AI Application Suite</w:t>
        <w:br/>
        <w:t>Date: July 2026</w:t>
        <w:br/>
        <w:t>Version: 1.0.0 (Release Candidate)</w:t>
        <w:br/>
        <w:t>QA Division - Lead Engineer</w:t>
      </w:r>
    </w:p>
    <w:p>
      <w:r>
        <w:br w:type="page"/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1. UI/UX Testing Scope &amp; Objectives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UI/UX Testing validates that the visual rendering, spacing, fonts, themes, animations, and accessibility structures align with modern premium design standards and match the agricultural brand layout. The test layout incorporates a curated HSL color palette featuring Forest Green primary indicators and Amber Gold highlights.</w:t>
      </w: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Key Visual Verification Benchmarks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Screen elements padding and grid vertical adjustments (alignment verification).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Keyboard overlay scrolling safeguards (no yellow-and-black pixel strip overflows).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Visual feedback states (pulsating animations, shimmer grids, card drop shadows).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Dynamic scaling across tablet screens and RTL screen flows (text overflows checks).</w:t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2. Execution Metrics &amp; Results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Total cases: 62. Passed: 61. Failed: 1. Blocked: 0. Pass Rate: 98.39%.</w:t>
      </w: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Identified UI Defect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Defect ID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 / Screen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 of Visual Lint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FC-UI-006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Shop Registration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Stepper timeline completed checkmark icon clips slightly on small screen displays (under 360dp width).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Low</w:t>
            </w:r>
          </w:p>
        </w:tc>
      </w:tr>
    </w:tbl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3. Design System Checklist Validation</w:t>
      </w:r>
    </w:p>
    <w:p>
      <w:pPr>
        <w:spacing w:after="240"/>
        <w:pBdr>
          <w:bottom w:val="single" w:sz="12" w:space="1" w:color="1E4620"/>
        </w:pBdr>
      </w:pP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Typography: Roboto / Outfit fonts are integrated natively, resolving default system fallbacks.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Micro-animations: Bouncing horizontal scrolls on forecast timelines and pulsating mic controls operate smoothly.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Glassmorphism: Card widgets show proper transparent gradients, blending with soft backgrounds.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