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 Quality Analysis Report</w:t>
      </w:r>
    </w:p>
    <w:p>
      <w:pPr>
        <w:jc w:val="center"/>
      </w:pPr>
      <w:r>
        <w:rPr>
          <w:color w:val="646464"/>
          <w:sz w:val="24"/>
        </w:rPr>
        <w:t>Generated on: May 05, 2026</w:t>
        <w:br/>
      </w:r>
    </w:p>
    <w:p>
      <w:pPr>
        <w:pStyle w:val="Heading1"/>
        <w:spacing w:before="360" w:after="240"/>
      </w:pPr>
      <w:r>
        <w:t>1. Executive Summary</w:t>
      </w:r>
    </w:p>
    <w:p>
      <w:r>
        <w:t>This report provides a comprehensive evaluation of the dataset used for the Automotive Dealer Network AI Copilot POC. The analysis covers core datasets encompassing master data and transactional records. The objective is to validate data integrity, identify quality issues, and assess the realisticity of the synthetic data generation logic.</w:t>
      </w:r>
    </w:p>
    <w:p>
      <w:pPr>
        <w:pStyle w:val="Heading1"/>
        <w:spacing w:before="360" w:after="240"/>
      </w:pPr>
      <w:r>
        <w:t>2. Dataset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Dataset</w:t>
            </w:r>
          </w:p>
        </w:tc>
        <w:tc>
          <w:tcPr>
            <w:tcW w:type="dxa" w:w="1728"/>
          </w:tcPr>
          <w:p>
            <w:r>
              <w:rPr>
                <w:b/>
              </w:rPr>
              <w:t>Rows</w:t>
            </w:r>
          </w:p>
        </w:tc>
        <w:tc>
          <w:tcPr>
            <w:tcW w:type="dxa" w:w="1728"/>
          </w:tcPr>
          <w:p>
            <w:r>
              <w:rPr>
                <w:b/>
              </w:rPr>
              <w:t>Columns</w:t>
            </w:r>
          </w:p>
        </w:tc>
        <w:tc>
          <w:tcPr>
            <w:tcW w:type="dxa" w:w="1728"/>
          </w:tcPr>
          <w:p>
            <w:r>
              <w:rPr>
                <w:b/>
              </w:rPr>
              <w:t>Missing Values (%)</w:t>
            </w:r>
          </w:p>
        </w:tc>
        <w:tc>
          <w:tcPr>
            <w:tcW w:type="dxa" w:w="1728"/>
          </w:tcPr>
          <w:p>
            <w:r>
              <w:rPr>
                <w:b/>
              </w:rPr>
              <w:t>Duplicates</w:t>
            </w:r>
          </w:p>
        </w:tc>
      </w:tr>
      <w:tr>
        <w:tc>
          <w:tcPr>
            <w:tcW w:type="dxa" w:w="1728"/>
          </w:tcPr>
          <w:p>
            <w:r>
              <w:t>Dealer Master</w:t>
            </w:r>
          </w:p>
        </w:tc>
        <w:tc>
          <w:tcPr>
            <w:tcW w:type="dxa" w:w="1728"/>
          </w:tcPr>
          <w:p>
            <w:r>
              <w:t>30</w:t>
            </w:r>
          </w:p>
        </w:tc>
        <w:tc>
          <w:tcPr>
            <w:tcW w:type="dxa" w:w="1728"/>
          </w:tcPr>
          <w:p>
            <w:r>
              <w:t>6</w:t>
            </w:r>
          </w:p>
        </w:tc>
        <w:tc>
          <w:tcPr>
            <w:tcW w:type="dxa" w:w="1728"/>
          </w:tcPr>
          <w:p>
            <w:r>
              <w:t>0.00%</w:t>
            </w:r>
          </w:p>
        </w:tc>
        <w:tc>
          <w:tcPr>
            <w:tcW w:type="dxa" w:w="1728"/>
          </w:tcPr>
          <w:p>
            <w:r>
              <w:t>0</w:t>
            </w:r>
          </w:p>
        </w:tc>
      </w:tr>
      <w:tr>
        <w:tc>
          <w:tcPr>
            <w:tcW w:type="dxa" w:w="1728"/>
          </w:tcPr>
          <w:p>
            <w:r>
              <w:t>Part Master</w:t>
            </w:r>
          </w:p>
        </w:tc>
        <w:tc>
          <w:tcPr>
            <w:tcW w:type="dxa" w:w="1728"/>
          </w:tcPr>
          <w:p>
            <w:r>
              <w:t>100</w:t>
            </w:r>
          </w:p>
        </w:tc>
        <w:tc>
          <w:tcPr>
            <w:tcW w:type="dxa" w:w="1728"/>
          </w:tcPr>
          <w:p>
            <w:r>
              <w:t>6</w:t>
            </w:r>
          </w:p>
        </w:tc>
        <w:tc>
          <w:tcPr>
            <w:tcW w:type="dxa" w:w="1728"/>
          </w:tcPr>
          <w:p>
            <w:r>
              <w:t>0.00%</w:t>
            </w:r>
          </w:p>
        </w:tc>
        <w:tc>
          <w:tcPr>
            <w:tcW w:type="dxa" w:w="1728"/>
          </w:tcPr>
          <w:p>
            <w:r>
              <w:t>0</w:t>
            </w:r>
          </w:p>
        </w:tc>
      </w:tr>
      <w:tr>
        <w:tc>
          <w:tcPr>
            <w:tcW w:type="dxa" w:w="1728"/>
          </w:tcPr>
          <w:p>
            <w:r>
              <w:t>Vehicle Master</w:t>
            </w:r>
          </w:p>
        </w:tc>
        <w:tc>
          <w:tcPr>
            <w:tcW w:type="dxa" w:w="1728"/>
          </w:tcPr>
          <w:p>
            <w:r>
              <w:t>5000</w:t>
            </w:r>
          </w:p>
        </w:tc>
        <w:tc>
          <w:tcPr>
            <w:tcW w:type="dxa" w:w="1728"/>
          </w:tcPr>
          <w:p>
            <w:r>
              <w:t>8</w:t>
            </w:r>
          </w:p>
        </w:tc>
        <w:tc>
          <w:tcPr>
            <w:tcW w:type="dxa" w:w="1728"/>
          </w:tcPr>
          <w:p>
            <w:r>
              <w:t>0.00%</w:t>
            </w:r>
          </w:p>
        </w:tc>
        <w:tc>
          <w:tcPr>
            <w:tcW w:type="dxa" w:w="1728"/>
          </w:tcPr>
          <w:p>
            <w:r>
              <w:t>0</w:t>
            </w:r>
          </w:p>
        </w:tc>
      </w:tr>
      <w:tr>
        <w:tc>
          <w:tcPr>
            <w:tcW w:type="dxa" w:w="1728"/>
          </w:tcPr>
          <w:p>
            <w:r>
              <w:t>Customer Master</w:t>
            </w:r>
          </w:p>
        </w:tc>
        <w:tc>
          <w:tcPr>
            <w:tcW w:type="dxa" w:w="1728"/>
          </w:tcPr>
          <w:p>
            <w:r>
              <w:t>25000</w:t>
            </w:r>
          </w:p>
        </w:tc>
        <w:tc>
          <w:tcPr>
            <w:tcW w:type="dxa" w:w="1728"/>
          </w:tcPr>
          <w:p>
            <w:r>
              <w:t>6</w:t>
            </w:r>
          </w:p>
        </w:tc>
        <w:tc>
          <w:tcPr>
            <w:tcW w:type="dxa" w:w="1728"/>
          </w:tcPr>
          <w:p>
            <w:r>
              <w:t>0.00%</w:t>
            </w:r>
          </w:p>
        </w:tc>
        <w:tc>
          <w:tcPr>
            <w:tcW w:type="dxa" w:w="1728"/>
          </w:tcPr>
          <w:p>
            <w:r>
              <w:t>0</w:t>
            </w:r>
          </w:p>
        </w:tc>
      </w:tr>
      <w:tr>
        <w:tc>
          <w:tcPr>
            <w:tcW w:type="dxa" w:w="1728"/>
          </w:tcPr>
          <w:p>
            <w:r>
              <w:t>Vehicle Sales</w:t>
            </w:r>
          </w:p>
        </w:tc>
        <w:tc>
          <w:tcPr>
            <w:tcW w:type="dxa" w:w="1728"/>
          </w:tcPr>
          <w:p>
            <w:r>
              <w:t>2500</w:t>
            </w:r>
          </w:p>
        </w:tc>
        <w:tc>
          <w:tcPr>
            <w:tcW w:type="dxa" w:w="1728"/>
          </w:tcPr>
          <w:p>
            <w:r>
              <w:t>15</w:t>
            </w:r>
          </w:p>
        </w:tc>
        <w:tc>
          <w:tcPr>
            <w:tcW w:type="dxa" w:w="1728"/>
          </w:tcPr>
          <w:p>
            <w:r>
              <w:t>0.00%</w:t>
            </w:r>
          </w:p>
        </w:tc>
        <w:tc>
          <w:tcPr>
            <w:tcW w:type="dxa" w:w="1728"/>
          </w:tcPr>
          <w:p>
            <w:r>
              <w:t>0</w:t>
            </w:r>
          </w:p>
        </w:tc>
      </w:tr>
      <w:tr>
        <w:tc>
          <w:tcPr>
            <w:tcW w:type="dxa" w:w="1728"/>
          </w:tcPr>
          <w:p>
            <w:r>
              <w:t>Job Card Header</w:t>
            </w:r>
          </w:p>
        </w:tc>
        <w:tc>
          <w:tcPr>
            <w:tcW w:type="dxa" w:w="1728"/>
          </w:tcPr>
          <w:p>
            <w:r>
              <w:t>45000</w:t>
            </w:r>
          </w:p>
        </w:tc>
        <w:tc>
          <w:tcPr>
            <w:tcW w:type="dxa" w:w="1728"/>
          </w:tcPr>
          <w:p>
            <w:r>
              <w:t>8</w:t>
            </w:r>
          </w:p>
        </w:tc>
        <w:tc>
          <w:tcPr>
            <w:tcW w:type="dxa" w:w="1728"/>
          </w:tcPr>
          <w:p>
            <w:r>
              <w:t>0.00%</w:t>
            </w:r>
          </w:p>
        </w:tc>
        <w:tc>
          <w:tcPr>
            <w:tcW w:type="dxa" w:w="1728"/>
          </w:tcPr>
          <w:p>
            <w:r>
              <w:t>0</w:t>
            </w:r>
          </w:p>
        </w:tc>
      </w:tr>
      <w:tr>
        <w:tc>
          <w:tcPr>
            <w:tcW w:type="dxa" w:w="1728"/>
          </w:tcPr>
          <w:p>
            <w:r>
              <w:t>Job Card Line Items</w:t>
            </w:r>
          </w:p>
        </w:tc>
        <w:tc>
          <w:tcPr>
            <w:tcW w:type="dxa" w:w="1728"/>
          </w:tcPr>
          <w:p>
            <w:r>
              <w:t>76364</w:t>
            </w:r>
          </w:p>
        </w:tc>
        <w:tc>
          <w:tcPr>
            <w:tcW w:type="dxa" w:w="1728"/>
          </w:tcPr>
          <w:p>
            <w:r>
              <w:t>9</w:t>
            </w:r>
          </w:p>
        </w:tc>
        <w:tc>
          <w:tcPr>
            <w:tcW w:type="dxa" w:w="1728"/>
          </w:tcPr>
          <w:p>
            <w:r>
              <w:t>0.00%</w:t>
            </w:r>
          </w:p>
        </w:tc>
        <w:tc>
          <w:tcPr>
            <w:tcW w:type="dxa" w:w="1728"/>
          </w:tcPr>
          <w:p>
            <w:r>
              <w:t>0</w:t>
            </w:r>
          </w:p>
        </w:tc>
      </w:tr>
      <w:tr>
        <w:tc>
          <w:tcPr>
            <w:tcW w:type="dxa" w:w="1728"/>
          </w:tcPr>
          <w:p>
            <w:r>
              <w:t>Demand Records</w:t>
            </w:r>
          </w:p>
        </w:tc>
        <w:tc>
          <w:tcPr>
            <w:tcW w:type="dxa" w:w="1728"/>
          </w:tcPr>
          <w:p>
            <w:r>
              <w:t>25000</w:t>
            </w:r>
          </w:p>
        </w:tc>
        <w:tc>
          <w:tcPr>
            <w:tcW w:type="dxa" w:w="1728"/>
          </w:tcPr>
          <w:p>
            <w:r>
              <w:t>32</w:t>
            </w:r>
          </w:p>
        </w:tc>
        <w:tc>
          <w:tcPr>
            <w:tcW w:type="dxa" w:w="1728"/>
          </w:tcPr>
          <w:p>
            <w:r>
              <w:t>0.00%</w:t>
            </w:r>
          </w:p>
        </w:tc>
        <w:tc>
          <w:tcPr>
            <w:tcW w:type="dxa" w:w="1728"/>
          </w:tcPr>
          <w:p>
            <w:r>
              <w:t>0</w:t>
            </w:r>
          </w:p>
        </w:tc>
      </w:tr>
      <w:tr>
        <w:tc>
          <w:tcPr>
            <w:tcW w:type="dxa" w:w="1728"/>
          </w:tcPr>
          <w:p>
            <w:r>
              <w:t>SOQ Log</w:t>
            </w:r>
          </w:p>
        </w:tc>
        <w:tc>
          <w:tcPr>
            <w:tcW w:type="dxa" w:w="1728"/>
          </w:tcPr>
          <w:p>
            <w:r>
              <w:t>40000</w:t>
            </w:r>
          </w:p>
        </w:tc>
        <w:tc>
          <w:tcPr>
            <w:tcW w:type="dxa" w:w="1728"/>
          </w:tcPr>
          <w:p>
            <w:r>
              <w:t>9</w:t>
            </w:r>
          </w:p>
        </w:tc>
        <w:tc>
          <w:tcPr>
            <w:tcW w:type="dxa" w:w="1728"/>
          </w:tcPr>
          <w:p>
            <w:r>
              <w:t>0.00%</w:t>
            </w:r>
          </w:p>
        </w:tc>
        <w:tc>
          <w:tcPr>
            <w:tcW w:type="dxa" w:w="1728"/>
          </w:tcPr>
          <w:p>
            <w:r>
              <w:t>0</w:t>
            </w:r>
          </w:p>
        </w:tc>
      </w:tr>
    </w:tbl>
    <w:p>
      <w:pPr>
        <w:pStyle w:val="Heading1"/>
        <w:spacing w:before="360" w:after="240"/>
      </w:pPr>
      <w:r>
        <w:t>3. Master Data Integrity</w:t>
      </w:r>
    </w:p>
    <w:p>
      <w:r>
        <w:t>• Dealer Master: 30 unique dealers across 5 zones.</w:t>
      </w:r>
    </w:p>
    <w:p>
      <w:r>
        <w:t>• Part Master: 100 SKUs across 3 categories.</w:t>
      </w:r>
    </w:p>
    <w:p>
      <w:r>
        <w:t>• Vehicle Master: 5000 chassis records.</w:t>
      </w:r>
    </w:p>
    <w:p>
      <w:pPr>
        <w:pStyle w:val="Heading1"/>
        <w:spacing w:before="360" w:after="240"/>
      </w:pPr>
      <w:r>
        <w:t>4. Realisticity Analysis</w:t>
      </w:r>
    </w:p>
    <w:p>
      <w:r>
        <w:t>The dataset exhibits high realism through several business-logic-driven features:</w:t>
      </w:r>
    </w:p>
    <w:p>
      <w:pPr>
        <w:pStyle w:val="Heading2"/>
      </w:pPr>
      <w:r>
        <w:t>4.1 Stock Aging Realism</w:t>
      </w:r>
    </w:p>
    <w:p>
      <w:r>
        <w:t>Aging stock arrival dates follow a synthetic but realistic distribution (40/25/20/15 split).</w:t>
      </w:r>
    </w:p>
    <w:p>
      <w:pPr>
        <w:pStyle w:val="Heading2"/>
      </w:pPr>
      <w:r>
        <w:t>4.2 Temporal Consistency</w:t>
      </w:r>
    </w:p>
    <w:p>
      <w:r>
        <w:t>• Sale Date Range: 2025-01-01 to 2025-12-28</w:t>
      </w:r>
    </w:p>
    <w:p>
      <w:r>
        <w:t>• Average Days to Sell: 43.3 days</w:t>
      </w:r>
    </w:p>
    <w:p>
      <w:pPr>
        <w:pStyle w:val="Heading2"/>
      </w:pPr>
      <w:r>
        <w:t>4.3 Transactional Feature Distribution</w:t>
      </w:r>
    </w:p>
    <w:p>
      <w:r>
        <w:t>• Demand Quantity Range: 1.0 to 20.0 (Mean: 10.50)</w:t>
      </w:r>
    </w:p>
    <w:p>
      <w:r>
        <w:t>• Promotion Participation: 0.0% of records</w:t>
      </w:r>
    </w:p>
    <w:p>
      <w:pPr>
        <w:pStyle w:val="Heading1"/>
        <w:spacing w:before="360" w:after="240"/>
      </w:pPr>
      <w:r>
        <w:t>5. Model Evaluation Metrics</w:t>
      </w:r>
    </w:p>
    <w:p>
      <w:r>
        <w:t>The Two-Stage XGBoost forecasting model was evaluated on 9231 rows of historical sales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Target</w:t>
            </w:r>
          </w:p>
        </w:tc>
      </w:tr>
      <w:tr>
        <w:tc>
          <w:tcPr>
            <w:tcW w:type="dxa" w:w="2880"/>
          </w:tcPr>
          <w:p>
            <w:r>
              <w:t>Avg MAPE (%)</w:t>
            </w:r>
          </w:p>
        </w:tc>
        <w:tc>
          <w:tcPr>
            <w:tcW w:type="dxa" w:w="2880"/>
          </w:tcPr>
          <w:p>
            <w:r>
              <w:t>167.7%</w:t>
            </w:r>
          </w:p>
        </w:tc>
        <w:tc>
          <w:tcPr>
            <w:tcW w:type="dxa" w:w="2880"/>
          </w:tcPr>
          <w:p>
            <w:r>
              <w:t>&lt; 15.0%</w:t>
            </w:r>
          </w:p>
        </w:tc>
      </w:tr>
      <w:tr>
        <w:tc>
          <w:tcPr>
            <w:tcW w:type="dxa" w:w="2880"/>
          </w:tcPr>
          <w:p>
            <w:r>
              <w:t>Avg MAE</w:t>
            </w:r>
          </w:p>
        </w:tc>
        <w:tc>
          <w:tcPr>
            <w:tcW w:type="dxa" w:w="2880"/>
          </w:tcPr>
          <w:p>
            <w:r>
              <w:t>15.65</w:t>
            </w:r>
          </w:p>
        </w:tc>
        <w:tc>
          <w:tcPr>
            <w:tcW w:type="dxa" w:w="2880"/>
          </w:tcPr>
          <w:p>
            <w:r>
              <w:t>Minimize</w:t>
            </w:r>
          </w:p>
        </w:tc>
      </w:tr>
      <w:tr>
        <w:tc>
          <w:tcPr>
            <w:tcW w:type="dxa" w:w="2880"/>
          </w:tcPr>
          <w:p>
            <w:r>
              <w:t>Variants Trained</w:t>
            </w:r>
          </w:p>
        </w:tc>
        <w:tc>
          <w:tcPr>
            <w:tcW w:type="dxa" w:w="2880"/>
          </w:tcPr>
          <w:p>
            <w:r>
              <w:t>1</w:t>
            </w:r>
          </w:p>
        </w:tc>
        <w:tc>
          <w:tcPr>
            <w:tcW w:type="dxa" w:w="2880"/>
          </w:tcPr>
          <w:p>
            <w:r>
              <w:t>All active variants</w:t>
            </w:r>
          </w:p>
        </w:tc>
      </w:tr>
    </w:tbl>
    <w:p>
      <w:r>
        <w:br/>
        <w:t>Detailed Model Performance per Variant: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Variant</w:t>
            </w:r>
          </w:p>
        </w:tc>
        <w:tc>
          <w:tcPr>
            <w:tcW w:type="dxa" w:w="1728"/>
          </w:tcPr>
          <w:p>
            <w:r>
              <w:rPr>
                <w:b/>
              </w:rPr>
              <w:t>MAPE (%)</w:t>
            </w:r>
          </w:p>
        </w:tc>
        <w:tc>
          <w:tcPr>
            <w:tcW w:type="dxa" w:w="1728"/>
          </w:tcPr>
          <w:p>
            <w:r>
              <w:rPr>
                <w:b/>
              </w:rPr>
              <w:t>RMSE</w:t>
            </w:r>
          </w:p>
        </w:tc>
        <w:tc>
          <w:tcPr>
            <w:tcW w:type="dxa" w:w="1728"/>
          </w:tcPr>
          <w:p>
            <w:r>
              <w:rPr>
                <w:b/>
              </w:rPr>
              <w:t>R2 Score</w:t>
            </w:r>
          </w:p>
        </w:tc>
        <w:tc>
          <w:tcPr>
            <w:tcW w:type="dxa" w:w="1728"/>
          </w:tcPr>
          <w:p>
            <w:r>
              <w:rPr>
                <w:b/>
              </w:rPr>
              <w:t>F1 (Sale Prediction)</w:t>
            </w:r>
          </w:p>
        </w:tc>
      </w:tr>
      <w:tr>
        <w:tc>
          <w:tcPr>
            <w:tcW w:type="dxa" w:w="1728"/>
          </w:tcPr>
          <w:p>
            <w:r>
              <w:t>VXI</w:t>
            </w:r>
          </w:p>
        </w:tc>
        <w:tc>
          <w:tcPr>
            <w:tcW w:type="dxa" w:w="1728"/>
          </w:tcPr>
          <w:p>
            <w:r>
              <w:t>167.7%</w:t>
            </w:r>
          </w:p>
        </w:tc>
        <w:tc>
          <w:tcPr>
            <w:tcW w:type="dxa" w:w="1728"/>
          </w:tcPr>
          <w:p>
            <w:r>
              <w:t>19.11</w:t>
            </w:r>
          </w:p>
        </w:tc>
        <w:tc>
          <w:tcPr>
            <w:tcW w:type="dxa" w:w="1728"/>
          </w:tcPr>
          <w:p>
            <w:r>
              <w:t>-0.218</w:t>
            </w:r>
          </w:p>
        </w:tc>
        <w:tc>
          <w:tcPr>
            <w:tcW w:type="dxa" w:w="1728"/>
          </w:tcPr>
          <w:p>
            <w:r>
              <w:t>0.0</w:t>
            </w:r>
          </w:p>
        </w:tc>
      </w:tr>
    </w:tbl>
    <w:p>
      <w:pPr>
        <w:pStyle w:val="Heading1"/>
        <w:spacing w:before="360" w:after="240"/>
      </w:pPr>
      <w:r>
        <w:t>6. Data Quality Recommendations</w:t>
      </w:r>
    </w:p>
    <w:p>
      <w:pPr>
        <w:pStyle w:val="ListNumber"/>
      </w:pPr>
      <w:r>
        <w:t>1. Enhance ID Validation: Implement stricter regex for VIN and Part Number formats.</w:t>
      </w:r>
    </w:p>
    <w:p>
      <w:pPr>
        <w:pStyle w:val="ListNumber"/>
      </w:pPr>
      <w:r>
        <w:t>2. Consistency Checks: Ensure cross-table referential integrity between Customer Master and Transaction logs.</w:t>
      </w:r>
    </w:p>
    <w:p>
      <w:pPr>
        <w:pStyle w:val="ListNumber"/>
      </w:pPr>
      <w:r>
        <w:t>3. Sparse Data Handling: Address low-frequency sales records in smaller dealerships to improve ML model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