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000000"/>
          <w:sz w:val="36"/>
        </w:rPr>
        <w:t>VIDYAUDAY: CAREER GUIDANCE &amp; DIGITAL LITERACY PLATFORM FOR RURAL STUDENTS</w:t>
      </w:r>
    </w:p>
    <w:p>
      <w:pPr>
        <w:spacing w:before="80" w:after="400"/>
        <w:jc w:val="center"/>
      </w:pPr>
      <w:r>
        <w:rPr>
          <w:rFonts w:ascii="Times New Roman" w:hAnsi="Times New Roman"/>
          <w:i/>
          <w:sz w:val="28"/>
        </w:rPr>
        <w:t>A Community Project Report</w:t>
      </w:r>
    </w:p>
    <w:p>
      <w:pPr>
        <w:spacing w:before="120" w:after="160"/>
        <w:jc w:val="center"/>
      </w:pPr>
      <w:r>
        <w:rPr>
          <w:rFonts w:ascii="Times New Roman" w:hAnsi="Times New Roman"/>
          <w:b/>
          <w:sz w:val="26"/>
        </w:rPr>
        <w:t>Submitted by</w:t>
      </w:r>
    </w:p>
    <w:tbl>
      <w:tblPr>
        <w:tblW w:type="auto" w:w="0"/>
        <w:jc w:val="center"/>
        <w:tblLook w:firstColumn="1" w:firstRow="1" w:lastColumn="0" w:lastRow="0" w:noHBand="0" w:noVBand="1" w:val="04A0"/>
      </w:tblPr>
      <w:tblGrid>
        <w:gridCol w:w="4154"/>
        <w:gridCol w:w="4154"/>
      </w:tblGrid>
      <w:tr>
        <w:tc>
          <w:tcPr>
            <w:tcW w:type="dxa" w:w="4032"/>
          </w:tcPr>
          <w:p>
            <w:pPr>
              <w:spacing w:line="240" w:lineRule="auto" w:after="40"/>
              <w:jc w:val="center"/>
            </w:pPr>
            <w:r>
              <w:rPr>
                <w:rFonts w:ascii="Times New Roman" w:hAnsi="Times New Roman"/>
                <w:b/>
                <w:sz w:val="24"/>
              </w:rPr>
              <w:t>K. RAMANADH</w:t>
            </w:r>
          </w:p>
          <w:p>
            <w:pPr>
              <w:spacing w:line="240" w:lineRule="auto" w:after="120"/>
              <w:jc w:val="center"/>
            </w:pPr>
            <w:r>
              <w:rPr>
                <w:rFonts w:ascii="Times New Roman" w:hAnsi="Times New Roman"/>
                <w:b/>
                <w:sz w:val="23"/>
              </w:rPr>
              <w:t>(24331A4726)</w:t>
            </w:r>
          </w:p>
        </w:tc>
        <w:tc>
          <w:tcPr>
            <w:tcW w:type="dxa" w:w="4032"/>
          </w:tcPr>
          <w:p>
            <w:pPr>
              <w:spacing w:line="240" w:lineRule="auto" w:after="40"/>
              <w:jc w:val="center"/>
            </w:pPr>
            <w:r>
              <w:rPr>
                <w:rFonts w:ascii="Times New Roman" w:hAnsi="Times New Roman"/>
                <w:b/>
                <w:sz w:val="24"/>
              </w:rPr>
              <w:t>R. HARSHA VARDHAN</w:t>
            </w:r>
          </w:p>
          <w:p>
            <w:pPr>
              <w:spacing w:line="240" w:lineRule="auto" w:after="120"/>
              <w:jc w:val="center"/>
            </w:pPr>
            <w:r>
              <w:rPr>
                <w:rFonts w:ascii="Times New Roman" w:hAnsi="Times New Roman"/>
                <w:b/>
                <w:sz w:val="23"/>
              </w:rPr>
              <w:t>(24331A4745)</w:t>
            </w:r>
          </w:p>
        </w:tc>
      </w:tr>
      <w:tr>
        <w:tc>
          <w:tcPr>
            <w:tcW w:type="dxa" w:w="4032"/>
          </w:tcPr>
          <w:p>
            <w:pPr>
              <w:spacing w:line="240" w:lineRule="auto" w:after="40"/>
              <w:jc w:val="center"/>
            </w:pPr>
            <w:r>
              <w:rPr>
                <w:rFonts w:ascii="Times New Roman" w:hAnsi="Times New Roman"/>
                <w:b/>
                <w:sz w:val="24"/>
              </w:rPr>
              <w:t>C. SAI TEJA</w:t>
            </w:r>
          </w:p>
          <w:p>
            <w:pPr>
              <w:spacing w:line="240" w:lineRule="auto" w:after="120"/>
              <w:jc w:val="center"/>
            </w:pPr>
            <w:r>
              <w:rPr>
                <w:rFonts w:ascii="Times New Roman" w:hAnsi="Times New Roman"/>
                <w:b/>
                <w:sz w:val="23"/>
              </w:rPr>
              <w:t>(24331A4720)</w:t>
            </w:r>
          </w:p>
        </w:tc>
        <w:tc>
          <w:tcPr>
            <w:tcW w:type="dxa" w:w="4032"/>
          </w:tcPr>
          <w:p>
            <w:pPr>
              <w:spacing w:line="240" w:lineRule="auto" w:after="40"/>
              <w:jc w:val="center"/>
            </w:pPr>
            <w:r>
              <w:rPr>
                <w:rFonts w:ascii="Times New Roman" w:hAnsi="Times New Roman"/>
                <w:b/>
                <w:sz w:val="24"/>
              </w:rPr>
              <w:t>V. V. SATYANARAYANA</w:t>
            </w:r>
          </w:p>
          <w:p>
            <w:pPr>
              <w:spacing w:line="240" w:lineRule="auto" w:after="120"/>
              <w:jc w:val="center"/>
            </w:pPr>
            <w:r>
              <w:rPr>
                <w:rFonts w:ascii="Times New Roman" w:hAnsi="Times New Roman"/>
                <w:b/>
                <w:sz w:val="23"/>
              </w:rPr>
              <w:t>(24331A4752)</w:t>
            </w:r>
          </w:p>
        </w:tc>
      </w:tr>
    </w:tbl>
    <w:p>
      <w:pPr>
        <w:spacing w:before="320" w:after="40"/>
        <w:jc w:val="center"/>
      </w:pPr>
      <w:r>
        <w:rPr>
          <w:rFonts w:ascii="Times New Roman" w:hAnsi="Times New Roman"/>
          <w:sz w:val="23"/>
        </w:rPr>
        <w:t>In partial fulfillment for the award of the degree of</w:t>
        <w:br/>
      </w:r>
      <w:r>
        <w:rPr>
          <w:rFonts w:ascii="Times New Roman" w:hAnsi="Times New Roman"/>
          <w:b/>
          <w:sz w:val="26"/>
        </w:rPr>
        <w:t>BACHELOR OF TECHNOLOGY</w:t>
        <w:br/>
        <w:t>IN</w:t>
        <w:br/>
        <w:t>COMPUTER SCIENCE &amp; ENGINEERING</w:t>
        <w:br/>
        <w:t>(Artificial Intelligence &amp; Machine Learning)</w:t>
      </w:r>
    </w:p>
    <w:p>
      <w:pPr>
        <w:spacing w:before="240" w:after="80"/>
        <w:jc w:val="center"/>
      </w:pPr>
      <w:r>
        <w:rPr>
          <w:rFonts w:ascii="Times New Roman" w:hAnsi="Times New Roman"/>
          <w:sz w:val="23"/>
        </w:rPr>
        <w:t>Under the esteemed Guidance of</w:t>
        <w:br/>
      </w:r>
      <w:r>
        <w:rPr>
          <w:rFonts w:ascii="Times New Roman" w:hAnsi="Times New Roman"/>
          <w:b/>
          <w:sz w:val="26"/>
        </w:rPr>
        <w:t>Mrs. G. LALITHA, M.Tech.</w:t>
        <w:br/>
      </w:r>
      <w:r>
        <w:rPr>
          <w:rFonts w:ascii="Times New Roman" w:hAnsi="Times New Roman"/>
          <w:sz w:val="22"/>
        </w:rPr>
        <w:t>Assistant Professor, Department of Data Engineering</w:t>
      </w:r>
    </w:p>
    <w:p>
      <w:pPr>
        <w:spacing w:before="240" w:after="240"/>
        <w:jc w:val="center"/>
      </w:pPr>
      <w:r>
        <w:drawing>
          <wp:inline xmlns:a="http://schemas.openxmlformats.org/drawingml/2006/main" xmlns:pic="http://schemas.openxmlformats.org/drawingml/2006/picture">
            <wp:extent cx="1691640" cy="109098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91640" cy="1090985"/>
                    </a:xfrm>
                    <a:prstGeom prst="rect"/>
                  </pic:spPr>
                </pic:pic>
              </a:graphicData>
            </a:graphic>
          </wp:inline>
        </w:drawing>
      </w:r>
    </w:p>
    <w:p>
      <w:pPr>
        <w:spacing w:before="80" w:after="0" w:line="276" w:lineRule="auto"/>
        <w:jc w:val="center"/>
      </w:pPr>
      <w:r>
        <w:rPr>
          <w:rFonts w:ascii="Times New Roman" w:hAnsi="Times New Roman"/>
          <w:b/>
          <w:sz w:val="26"/>
        </w:rPr>
        <w:t>DEPARTMENT OF DATA ENGINEERING</w:t>
        <w:br/>
      </w:r>
      <w:r>
        <w:rPr>
          <w:rFonts w:ascii="Times New Roman" w:hAnsi="Times New Roman"/>
          <w:b/>
          <w:sz w:val="25"/>
        </w:rPr>
        <w:t>MAHARAJ VIJAYARAM GAJAPATHI RAJ COLLEGE OF ENGINEERING (Autonomous)</w:t>
        <w:br/>
      </w:r>
      <w:r>
        <w:rPr>
          <w:rFonts w:ascii="Times New Roman" w:hAnsi="Times New Roman"/>
          <w:sz w:val="20"/>
        </w:rPr>
        <w:t>(Approved by AICTE, New Delhi, and permanently affiliated to JNTUGV, Vizianagaram)</w:t>
        <w:br/>
        <w:t>Listed u/s 2(f) &amp; 12(B) of UGC Act 1956</w:t>
        <w:br/>
        <w:t>Vijayaram Nagar Campus, Chintalavalasa, Vizianagaram-535005, Andhra Pradesh</w:t>
        <w:br/>
      </w:r>
      <w:r>
        <w:rPr>
          <w:rFonts w:ascii="Times New Roman" w:hAnsi="Times New Roman"/>
          <w:b/>
          <w:sz w:val="24"/>
        </w:rPr>
        <w:t>October, 2025</w:t>
      </w:r>
    </w:p>
    <w:p>
      <w:r>
        <w:br w:type="page"/>
      </w:r>
    </w:p>
    <w:p>
      <w:pPr>
        <w:spacing w:before="240" w:after="280"/>
        <w:jc w:val="center"/>
      </w:pPr>
      <w:r>
        <w:drawing>
          <wp:inline xmlns:a="http://schemas.openxmlformats.org/drawingml/2006/main" xmlns:pic="http://schemas.openxmlformats.org/drawingml/2006/picture">
            <wp:extent cx="1691640" cy="1090985"/>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91640" cy="1090985"/>
                    </a:xfrm>
                    <a:prstGeom prst="rect"/>
                  </pic:spPr>
                </pic:pic>
              </a:graphicData>
            </a:graphic>
          </wp:inline>
        </w:drawing>
      </w:r>
    </w:p>
    <w:p>
      <w:pPr>
        <w:spacing w:before="200" w:after="360"/>
        <w:jc w:val="center"/>
      </w:pPr>
      <w:r>
        <w:rPr>
          <w:rFonts w:ascii="Times New Roman" w:hAnsi="Times New Roman"/>
          <w:b/>
          <w:color w:val="000000"/>
          <w:sz w:val="32"/>
        </w:rPr>
        <w:t>CERTIFICATE</w:t>
      </w:r>
    </w:p>
    <w:p>
      <w:pPr>
        <w:spacing w:line="240" w:lineRule="auto" w:after="120" w:before="0"/>
        <w:jc w:val="both"/>
      </w:pPr>
      <w:r>
        <w:rPr>
          <w:rFonts w:ascii="Times New Roman" w:hAnsi="Times New Roman"/>
          <w:color w:val="000000"/>
          <w:sz w:val="24"/>
        </w:rPr>
        <w:t>This is to certify that the project entitled "VidyaUday: Career Guidance &amp; Digital Literacy Platform for Rural Students" is the bonafide work carried out by K. Ramanadh (24331A4726), R. Harsha Vardhan (24331A4745), C. Sai Teja (24331A4720), and V. V. Satyanarayana (24331A4752), of B.Tech V Sem CSE-AIML, M.V.G.R. College of Engineering (Autonomous), Vizianagaram, during the academic year 2025–2026, in partial fulfilment of the requirements for the award of the Degree of Bachelor of Technology and that the project has not formed the basis for the award previously of any degree or any other similar title.</w:t>
      </w:r>
    </w:p>
    <w:p>
      <w:pPr>
        <w:spacing w:before="1440" w:after="0"/>
      </w:pPr>
    </w:p>
    <w:tbl>
      <w:tblPr>
        <w:tblW w:type="auto" w:w="0"/>
        <w:jc w:val="center"/>
        <w:tblLayout w:type="fixed"/>
        <w:tblLook w:firstColumn="1" w:firstRow="1" w:lastColumn="0" w:lastRow="0" w:noHBand="0" w:noVBand="1" w:val="04A0"/>
      </w:tblPr>
      <w:tblGrid>
        <w:gridCol w:w="4154"/>
        <w:gridCol w:w="4154"/>
      </w:tblGrid>
      <w:tr>
        <w:tc>
          <w:tcPr>
            <w:tcW w:type="dxa" w:w="4320"/>
          </w:tcPr>
          <w:p>
            <w:pPr>
              <w:spacing w:line="276" w:lineRule="auto"/>
              <w:jc w:val="left"/>
            </w:pPr>
            <w:r>
              <w:rPr>
                <w:b/>
              </w:rPr>
              <w:t>Signature of Project Guide</w:t>
              <w:br/>
            </w:r>
            <w:r>
              <w:t>Mrs. G. Lalitha, M.Tech.</w:t>
              <w:br/>
            </w:r>
            <w:r>
              <w:t>Assistant Professor</w:t>
              <w:br/>
            </w:r>
            <w:r>
              <w:t>Department: Data Engineering.</w:t>
            </w:r>
          </w:p>
        </w:tc>
        <w:tc>
          <w:tcPr>
            <w:tcW w:type="dxa" w:w="4320"/>
          </w:tcPr>
          <w:p>
            <w:pPr>
              <w:spacing w:line="276" w:lineRule="auto"/>
              <w:jc w:val="right"/>
            </w:pPr>
            <w:r>
              <w:rPr>
                <w:b/>
              </w:rPr>
              <w:t>Signature of Head of the Department</w:t>
              <w:br/>
            </w:r>
            <w:r>
              <w:t>Dr. V. Jyothi, Ph.D.</w:t>
              <w:br/>
            </w:r>
            <w:r>
              <w:t>Professor &amp; Head of Department</w:t>
              <w:br/>
            </w:r>
            <w:r>
              <w:t>Department: Data Engineering.</w:t>
            </w:r>
          </w:p>
        </w:tc>
      </w:tr>
    </w:tbl>
    <w:p>
      <w:r>
        <w:br w:type="page"/>
      </w:r>
    </w:p>
    <w:p>
      <w:pPr>
        <w:spacing w:before="360" w:after="240" w:line="276" w:lineRule="auto"/>
        <w:jc w:val="center"/>
      </w:pPr>
      <w:r>
        <w:rPr>
          <w:rFonts w:ascii="Times New Roman" w:hAnsi="Times New Roman"/>
          <w:b/>
          <w:color w:val="000000"/>
          <w:sz w:val="32"/>
        </w:rPr>
        <w:t>DECLARATION</w:t>
      </w:r>
    </w:p>
    <w:p>
      <w:pPr>
        <w:spacing w:line="240" w:lineRule="auto" w:after="120" w:before="0"/>
        <w:jc w:val="both"/>
      </w:pPr>
      <w:r>
        <w:rPr>
          <w:rFonts w:ascii="Times New Roman" w:hAnsi="Times New Roman"/>
          <w:color w:val="000000"/>
          <w:sz w:val="24"/>
        </w:rPr>
        <w:t>We hereby declare that the work done on the dissertation entitled "VidyaUday: Career Guidance &amp; Digital Literacy Platform for Rural Students"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pPr>
        <w:spacing w:before="720" w:after="480"/>
      </w:pPr>
      <w:r>
        <w:t>Place: Vizianagaram</w:t>
        <w:br/>
        <w:t>Date: October, 2025</w:t>
      </w:r>
    </w:p>
    <w:p>
      <w:pPr>
        <w:spacing w:line="240" w:lineRule="auto" w:after="320"/>
        <w:jc w:val="right"/>
      </w:pPr>
      <w:r>
        <w:rPr>
          <w:rFonts w:ascii="Times New Roman" w:hAnsi="Times New Roman"/>
          <w:sz w:val="23"/>
        </w:rPr>
        <w:t>___________________________</w:t>
        <w:br/>
        <w:t>K. Ramanadh</w:t>
        <w:br/>
        <w:t>(24331A4726)</w:t>
      </w:r>
    </w:p>
    <w:p>
      <w:pPr>
        <w:spacing w:line="240" w:lineRule="auto" w:after="320"/>
        <w:jc w:val="right"/>
      </w:pPr>
      <w:r>
        <w:rPr>
          <w:rFonts w:ascii="Times New Roman" w:hAnsi="Times New Roman"/>
          <w:sz w:val="23"/>
        </w:rPr>
        <w:t>___________________________</w:t>
        <w:br/>
        <w:t>R. Harsha Vardhan</w:t>
        <w:br/>
        <w:t>(24331A4745)</w:t>
      </w:r>
    </w:p>
    <w:p>
      <w:pPr>
        <w:spacing w:line="240" w:lineRule="auto" w:after="320"/>
        <w:jc w:val="right"/>
      </w:pPr>
      <w:r>
        <w:rPr>
          <w:rFonts w:ascii="Times New Roman" w:hAnsi="Times New Roman"/>
          <w:sz w:val="23"/>
        </w:rPr>
        <w:t>___________________________</w:t>
        <w:br/>
        <w:t>C. Sai Teja</w:t>
        <w:br/>
        <w:t>(24331A4720)</w:t>
      </w:r>
    </w:p>
    <w:p>
      <w:pPr>
        <w:spacing w:line="240" w:lineRule="auto" w:after="320"/>
        <w:jc w:val="right"/>
      </w:pPr>
      <w:r>
        <w:rPr>
          <w:rFonts w:ascii="Times New Roman" w:hAnsi="Times New Roman"/>
          <w:sz w:val="23"/>
        </w:rPr>
        <w:t>___________________________</w:t>
        <w:br/>
        <w:t>V. V. Satyanarayana</w:t>
        <w:br/>
        <w:t>(24331A4752)</w:t>
      </w:r>
    </w:p>
    <w:p>
      <w:r>
        <w:br w:type="page"/>
      </w:r>
    </w:p>
    <w:p>
      <w:pPr>
        <w:spacing w:before="360" w:after="240" w:line="276" w:lineRule="auto"/>
        <w:jc w:val="center"/>
      </w:pPr>
      <w:r>
        <w:rPr>
          <w:rFonts w:ascii="Times New Roman" w:hAnsi="Times New Roman"/>
          <w:b/>
          <w:color w:val="000000"/>
          <w:sz w:val="32"/>
        </w:rPr>
        <w:t>ACKNOWLEDGEMENT</w:t>
      </w:r>
    </w:p>
    <w:p>
      <w:pPr>
        <w:spacing w:line="240" w:lineRule="auto" w:after="120" w:before="0"/>
        <w:jc w:val="both"/>
      </w:pPr>
      <w:r>
        <w:rPr>
          <w:rFonts w:ascii="Times New Roman" w:hAnsi="Times New Roman"/>
          <w:color w:val="000000"/>
          <w:sz w:val="24"/>
        </w:rPr>
        <w:t>We express our sincere gratitude to Mrs. G. Lalitha, Assistant Professor, Department of Data Engineering, for her invaluable guidance and support as our mentor throughout the project. Her unwavering commitment to excellence and constructive feedback motivated us to achieve our project goals. We are greatly indebted to her for her exceptional guidance and mentorship.</w:t>
      </w:r>
    </w:p>
    <w:p>
      <w:pPr>
        <w:spacing w:line="240" w:lineRule="auto" w:after="120" w:before="0"/>
        <w:jc w:val="both"/>
      </w:pPr>
      <w:r>
        <w:rPr>
          <w:rFonts w:ascii="Times New Roman" w:hAnsi="Times New Roman"/>
          <w:color w:val="000000"/>
          <w:sz w:val="24"/>
        </w:rPr>
        <w:t>Additionally, we extend our sincere thanks to Prof. P. S. Sitharama Raju (Director), Dr. Y. M. C. Shekar (Principal), and Dr. V. Jyothi (Head of the Department of Data Engineering) for their unwavering institutional support and administrative encouragement, which were instrumental in the successful completion of the project. We are deeply thankful for and fortunate enough to receive constant encouragement and technical guidance from our Project Coordinator, Dr. T. Govindh Rao, Associate Professor, Department of Data Engineering.</w:t>
      </w:r>
    </w:p>
    <w:p>
      <w:pPr>
        <w:spacing w:line="240" w:lineRule="auto" w:after="120" w:before="0"/>
        <w:jc w:val="both"/>
      </w:pPr>
      <w:r>
        <w:rPr>
          <w:rFonts w:ascii="Times New Roman" w:hAnsi="Times New Roman"/>
          <w:color w:val="000000"/>
          <w:sz w:val="24"/>
        </w:rPr>
        <w:t>We also acknowledge the dedicated assistance and cooperation provided by all the teaching and technical staff members in the Department of Data Engineering. Finally, we appreciate the contributions of our families, peers, and the rural school students who generously participated in field validation and directly or indirectly contributed to the successful execution of this endeavor.</w:t>
      </w:r>
    </w:p>
    <w:p>
      <w:pPr>
        <w:spacing w:before="800" w:line="276" w:lineRule="auto"/>
        <w:jc w:val="right"/>
      </w:pPr>
      <w:r>
        <w:rPr>
          <w:rFonts w:ascii="Times New Roman" w:hAnsi="Times New Roman"/>
          <w:sz w:val="23"/>
        </w:rPr>
        <w:t>K. Ramanadh (24331A4726)</w:t>
        <w:br/>
      </w:r>
      <w:r>
        <w:rPr>
          <w:rFonts w:ascii="Times New Roman" w:hAnsi="Times New Roman"/>
          <w:sz w:val="23"/>
        </w:rPr>
        <w:t>R. Harsha Vardhan (24331A4745)</w:t>
        <w:br/>
      </w:r>
      <w:r>
        <w:rPr>
          <w:rFonts w:ascii="Times New Roman" w:hAnsi="Times New Roman"/>
          <w:sz w:val="23"/>
        </w:rPr>
        <w:t>C. Sai Teja (24331A4720)</w:t>
        <w:br/>
      </w:r>
      <w:r>
        <w:rPr>
          <w:rFonts w:ascii="Times New Roman" w:hAnsi="Times New Roman"/>
          <w:sz w:val="23"/>
        </w:rPr>
        <w:t>V. V. Satyanarayana (24331A4752)</w:t>
        <w:br/>
      </w:r>
    </w:p>
    <w:p>
      <w:r>
        <w:br w:type="page"/>
      </w:r>
    </w:p>
    <w:p>
      <w:pPr>
        <w:spacing w:before="360" w:after="240" w:line="276" w:lineRule="auto"/>
        <w:jc w:val="center"/>
      </w:pPr>
      <w:r>
        <w:rPr>
          <w:rFonts w:ascii="Times New Roman" w:hAnsi="Times New Roman"/>
          <w:b/>
          <w:color w:val="000000"/>
          <w:sz w:val="32"/>
        </w:rPr>
        <w:t>ABSTRACT</w:t>
      </w:r>
    </w:p>
    <w:p>
      <w:pPr>
        <w:spacing w:line="240" w:lineRule="auto" w:after="120" w:before="0"/>
        <w:jc w:val="both"/>
      </w:pPr>
      <w:r>
        <w:rPr>
          <w:rFonts w:ascii="Times New Roman" w:hAnsi="Times New Roman"/>
          <w:color w:val="000000"/>
          <w:sz w:val="24"/>
        </w:rPr>
        <w:t>The post-secondary transition for 10th (SSC) and Intermediate (+2) students in rural Indian communities is severely impeded by acute information asymmetry, language barriers, and limited digital literacy. While rural smartphone penetration exceeds 75%, educational utilization remains critically constrained because government scholarship portals (such as the National Scholarship Portal and State ePASS systems) and commercial career guidance platforms are dominated by complex, English-only interfaces, mandatory user logins, and expensive subscription paywalls. Consequently, first-generation rural learners routinely depend on commercial cyber café operators, incurring recurring fees between ₹200 and ₹500 per form while falling vulnerable to widespread WhatsApp scholarship fraud and OTP phishing scams.</w:t>
      </w:r>
    </w:p>
    <w:p>
      <w:pPr>
        <w:spacing w:line="240" w:lineRule="auto" w:after="120" w:before="0"/>
        <w:jc w:val="both"/>
      </w:pPr>
      <w:r>
        <w:rPr>
          <w:rFonts w:ascii="Times New Roman" w:hAnsi="Times New Roman"/>
          <w:color w:val="000000"/>
          <w:sz w:val="24"/>
        </w:rPr>
        <w:t>To resolve these systemic challenges, this project introduces VidyaUday, a high-performance, bilingual (English &amp; Telugu), zero-cost educational guidance and digital literacy progressive web platform engineered specifically for rural students. VidyaUday unites seven core interactive modules into a unified, zero-login, client-first architecture: (1) an AI Tools Directory featuring 10+ curated free platforms with 1-click copyable student prompt cards for homework problem-solving, essay composition, and vernacular translation; (2) Uday the Owl, a trilingual conversational AI study assistant powered by the Google Gemini 1.5 Flash API and native Web Speech API voice synthesis, backed by a deterministic local offline rule engine; (3) Interactive Career Roadmaps mapping streams (MPC, BiPC, CEC, MEC, Polytechnic, and ITI) with verified salary growth curves; (4) a Dual-State Scholarship Hub featuring a 30-Second JSON Eligibility Rule Matcher; (5) a Free Learning Resources Hub with digitized SCERT board textbooks and direct portal integrations (DIKSHA, SWAYAM, NPTEL); (6) a Beginner Coding Playground; and (7) a Student Cyber Scam Buster Hub integrating legal digital locker credentials and national cybercrime reporting (Helpline 1930).</w:t>
      </w:r>
    </w:p>
    <w:p>
      <w:pPr>
        <w:spacing w:line="240" w:lineRule="auto" w:after="120" w:before="0"/>
        <w:jc w:val="both"/>
      </w:pPr>
      <w:r>
        <w:rPr>
          <w:rFonts w:ascii="Times New Roman" w:hAnsi="Times New Roman"/>
          <w:color w:val="000000"/>
          <w:sz w:val="24"/>
        </w:rPr>
        <w:t>Operating on a lightweight single-page framework with Service Worker v6 offline caching, VidyaUday achieves a sub-1.5 second page load time on 3G mobile networks and executes 100% of its interactive calculators, roadmaps, and quizzes without requiring an active internet connection. Field deployment tests confirm a 100% reduction in cyber café dependency for scholarship discovery and significantly elevated digital safety readiness among rural student cohorts, delivering a scalable model for regional educational equity.</w:t>
      </w:r>
    </w:p>
    <w:p>
      <w:pPr>
        <w:spacing w:before="240" w:after="120"/>
      </w:pPr>
      <w:r>
        <w:rPr>
          <w:rFonts w:ascii="Times New Roman" w:hAnsi="Times New Roman"/>
          <w:b/>
          <w:sz w:val="23"/>
        </w:rPr>
        <w:t xml:space="preserve">Keywords: </w:t>
      </w:r>
      <w:r>
        <w:rPr>
          <w:rFonts w:ascii="Times New Roman" w:hAnsi="Times New Roman"/>
          <w:i/>
          <w:sz w:val="22"/>
        </w:rPr>
        <w:t>Community Service Project, Rural Career Guidance, Digital Literacy, Generative AI, Google Gemini, Web Speech API, Progressive Web App, Service Worker Offline Cache, Scholarship Eligibility Matcher.</w:t>
      </w:r>
    </w:p>
    <w:p>
      <w:r>
        <w:br w:type="page"/>
      </w:r>
    </w:p>
    <w:p>
      <w:pPr>
        <w:spacing w:before="360" w:after="240" w:line="276" w:lineRule="auto"/>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4154"/>
        <w:gridCol w:w="4154"/>
      </w:tblGrid>
      <w:tr>
        <w:tc>
          <w:tcPr>
            <w:tcW w:type="dxa" w:w="7200"/>
            <w:shd w:fill="EAEFF5"/>
            <w:tcMar>
              <w:top w:w="120" w:type="dxa"/>
              <w:bottom w:w="120" w:type="dxa"/>
              <w:left w:w="140" w:type="dxa"/>
              <w:right w:w="140" w:type="dxa"/>
            </w:tcMar>
          </w:tcPr>
          <w:p>
            <w:pPr>
              <w:spacing w:line="276" w:lineRule="auto" w:after="0" w:before="0"/>
              <w:jc w:val="center"/>
            </w:pPr>
            <w:r>
              <w:t>Contents</w:t>
            </w:r>
          </w:p>
        </w:tc>
        <w:tc>
          <w:tcPr>
            <w:tcW w:type="dxa" w:w="1440"/>
            <w:shd w:fill="EAEFF5"/>
            <w:tcMar>
              <w:top w:w="120" w:type="dxa"/>
              <w:bottom w:w="120" w:type="dxa"/>
              <w:left w:w="140" w:type="dxa"/>
              <w:right w:w="140" w:type="dxa"/>
            </w:tcMar>
          </w:tcPr>
          <w:p>
            <w:pPr>
              <w:spacing w:line="276" w:lineRule="auto" w:after="0" w:before="0"/>
              <w:jc w:val="center"/>
            </w:pPr>
            <w:r>
              <w:t>Page No.</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List of Abbreviations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vii</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List of Figures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viii</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List of Tables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ix</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1. Introduction</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1</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1.1 Problem Statement</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1.2 Project Objective</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1.3 Scope of the Project</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2. Literature Survey</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4</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2.1 National Education Policy (NEP 2020) Recommendations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4</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2.2 ASER Rural Technology &amp; Educational Survey Analysis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4</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2.3 Critical Assessment of Government Welfare Portals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5</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2.4 Commercial EdTech Monopolies &amp; Socio-Economic Paywalls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6</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2.5 Gap Analysis &amp; Comparative Feature Matrix</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6</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3. Data Gathering / Data Used</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8</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3.1 Primary Rural Student Needs Assessment</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8</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3.2 Government Welfare Gazettes &amp; Direct Benefit Transfer Datasets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8</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3.3 SCERT State Board Curriculum &amp; Digitized Books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10</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3.4 Career Stream Taxonomy &amp; Industry Compensation Datasets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10</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3.5 Student AI Prompt Corpus &amp; Vernacular Query Repository</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11</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3.6 Cyber Fraud Scenarios &amp; Student Security Knowledge Base</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12</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4. Methodology / System Design</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13</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4.1 Four-Layer System Architectural Paradigm</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13</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4.2 User Journey &amp; Decision Tree Flowchart</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14</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4.3 Client-Side Decision Rule Engine</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15</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4.4 Service Worker PWA Offline Caching Strategy</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16</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4.5 Vernacular Localization &amp; Web Speech Integration Workflow</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17</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5. Implementation / Modules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18</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5.1 Module 1: Curated AI Tools Directory &amp; 1-Click Prompt Engine</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18</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5.2 Module 2: Uday the Owl AI Voice Assistant (Gemini API &amp; Offline Fallback)</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19</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5.3 Module 3: Interactive Career Guidance &amp; Multi-Stream Salary Matrix</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21</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5.4 Module 4: Dual-State Scholarship Hub &amp; 30-Sec Eligibility Checker</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22</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5.5 Module 5: Digitized SCERT Books &amp; Free Learning Portals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23</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5.6 Module 6: Beginner Coding &amp; Tech Career Playground</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24</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5.7 Module 7: Student Digital Literacy &amp; Cyber Scam Buster</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25</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6. Results / Outputs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26</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6.1 User Interface Walkthrough &amp; Visual Verification</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26</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6.2 Voice Query Testing &amp; Dialect Response Verification</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28</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6.3 Rule Engine Evaluation &amp; False-Positive Testing</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29</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6.4 Zero-Internet Offline Mode Simulation &amp; Verification</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30</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6.5 System Performance, Accessibility &amp; Lighthouse Audit Results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30</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7. Impact Assessment</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32</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7.1 Educational &amp; Career Awareness Impact on Rural Students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32</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7.2 Economic Impact: Elimination of Cyber Café Exploitation</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32</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7.3 Cyber Hygiene &amp; Fraud Shield Impact</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33</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7.4 Quantitative Societal &amp; Technological Impact Metrics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34</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8. Challenges Faced &amp; Engineering Solutions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35</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8.1 Challenge 1: Bridging Complex Generative AI for Low-Literacy Learners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35</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8.2 Challenge 2: Harmonizing Divergent State &amp; Central Welfare Gazettes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35</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8.3 Challenge 3: Guaranteeing 100% Offline Functionality on Low-End Devices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36</w:t>
            </w:r>
          </w:p>
        </w:tc>
      </w:tr>
      <w:tr>
        <w:tc>
          <w:tcPr>
            <w:tcW w:type="dxa" w:w="4154"/>
            <w:tcMar>
              <w:top w:w="40" w:type="dxa"/>
              <w:bottom w:w="40" w:type="dxa"/>
              <w:left w:w="100" w:type="dxa"/>
              <w:right w:w="100" w:type="dxa"/>
            </w:tcMar>
          </w:tcPr>
          <w:p>
            <w:pPr>
              <w:spacing w:line="240" w:lineRule="auto" w:after="40"/>
            </w:pPr>
            <w:r>
              <w:rPr>
                <w:rFonts w:ascii="Times New Roman" w:hAnsi="Times New Roman"/>
                <w:sz w:val="22"/>
              </w:rPr>
              <w:t xml:space="preserve">    8.4 Challenge 4: Cross-Browser Vernacular Speech Synthesis</w:t>
            </w:r>
          </w:p>
        </w:tc>
        <w:tc>
          <w:tcPr>
            <w:tcW w:type="dxa" w:w="4154"/>
            <w:tcMar>
              <w:top w:w="40" w:type="dxa"/>
              <w:bottom w:w="40" w:type="dxa"/>
              <w:left w:w="100" w:type="dxa"/>
              <w:right w:w="100" w:type="dxa"/>
            </w:tcMar>
          </w:tcPr>
          <w:p>
            <w:pPr>
              <w:spacing w:line="240" w:lineRule="auto" w:after="40"/>
              <w:jc w:val="right"/>
            </w:pPr>
            <w:r>
              <w:rPr>
                <w:rFonts w:ascii="Times New Roman" w:hAnsi="Times New Roman"/>
                <w:sz w:val="22"/>
              </w:rPr>
              <w:t>36</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9. Conclusion</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38</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10. Future Work</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39</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References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40</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Appendix A: Packages, Tools Used &amp; Working Process</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42</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Appendix B: Key Source Code</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44</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Paper Publications (if any)</w:t>
            </w:r>
          </w:p>
        </w:tc>
        <w:tc>
          <w:tcPr>
            <w:tcW w:type="dxa" w:w="4154"/>
            <w:tcMar>
              <w:top w:w="40" w:type="dxa"/>
              <w:bottom w:w="40" w:type="dxa"/>
              <w:left w:w="100" w:type="dxa"/>
              <w:right w:w="100" w:type="dxa"/>
            </w:tcMar>
          </w:tcPr>
          <w:p>
            <w:pPr>
              <w:spacing w:line="240" w:lineRule="auto" w:after="40"/>
              <w:jc w:val="right"/>
            </w:pPr>
            <w:r>
              <w:rPr>
                <w:rFonts w:ascii="Times New Roman" w:hAnsi="Times New Roman"/>
                <w:b/>
                <w:sz w:val="22"/>
              </w:rPr>
              <w:t>48</w:t>
            </w:r>
          </w:p>
        </w:tc>
      </w:tr>
    </w:tbl>
    <w:p>
      <w:r>
        <w:br w:type="page"/>
      </w:r>
    </w:p>
    <w:p>
      <w:pPr>
        <w:spacing w:before="360" w:after="240" w:line="276" w:lineRule="auto"/>
        <w:jc w:val="center"/>
      </w:pPr>
      <w:r>
        <w:rPr>
          <w:rFonts w:ascii="Times New Roman" w:hAnsi="Times New Roman"/>
          <w:b/>
          <w:color w:val="000000"/>
          <w:sz w:val="32"/>
        </w:rPr>
        <w:t>LIST OF ABBREVIATIONS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4154"/>
        <w:gridCol w:w="4154"/>
      </w:tblGrid>
      <w:tr>
        <w:tc>
          <w:tcPr>
            <w:tcW w:type="dxa" w:w="2592"/>
            <w:shd w:fill="EAEFF5"/>
            <w:tcMar>
              <w:top w:w="120" w:type="dxa"/>
              <w:bottom w:w="120" w:type="dxa"/>
              <w:left w:w="140" w:type="dxa"/>
              <w:right w:w="140" w:type="dxa"/>
            </w:tcMar>
          </w:tcPr>
          <w:p>
            <w:pPr>
              <w:spacing w:line="276" w:lineRule="auto" w:after="0" w:before="0"/>
              <w:jc w:val="center"/>
            </w:pPr>
            <w:r>
              <w:t>Abbreviation</w:t>
            </w:r>
          </w:p>
        </w:tc>
        <w:tc>
          <w:tcPr>
            <w:tcW w:type="dxa" w:w="6048"/>
            <w:shd w:fill="EAEFF5"/>
            <w:tcMar>
              <w:top w:w="120" w:type="dxa"/>
              <w:bottom w:w="120" w:type="dxa"/>
              <w:left w:w="140" w:type="dxa"/>
              <w:right w:w="140" w:type="dxa"/>
            </w:tcMar>
          </w:tcPr>
          <w:p>
            <w:pPr>
              <w:spacing w:line="276" w:lineRule="auto" w:after="0" w:before="0"/>
              <w:jc w:val="center"/>
            </w:pPr>
            <w:r>
              <w:t>Full Description</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AI</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Artificial Intelligence</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API</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Application Programming Interface</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ASER</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Annual Status of Education Report</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BiPC</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Biology, Physics, Chemistry (Intermediate Stream)</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CEC</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Civics, Economics, Commerce (Intermediate Stream)</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CSP</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Community Service Project</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CSR</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Corporate Social Responsibility</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DBT</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Direct Benefit Transfer</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DIKSHA</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Digital Infrastructure for Knowledge Sharing</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ePASS</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Electronic Payment and Application System of Scholarships</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EWS</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Economically Weaker Section</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ITI</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Industrial Training Institute</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JVD</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Jagananna Vidya Deevena (AP Government Welfare Scheme)</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MEC</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Mathematics, Economics, Commerce (Intermediate Stream)</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MPC</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Mathematics, Physics, Chemistry (Intermediate Stream)</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NCERT</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National Council of Educational Research and Training</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NEP</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National Education Policy</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NMMS</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National Means-cum-Merit Scholarship Scheme</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NPTEL</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National Programme on Technology Enhanced Learning</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NSP</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National Scholarship Portal (Government of India)</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OTP</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One-Time Password</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PWA</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Progressive Web Application</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SCERT</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State Council of Educational Research and Training</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SSC</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Secondary School Certificate (Class 10 Board Examination)</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STT</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Speech-to-Text (Voice Recognition)</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SWAYAM</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Study Webs of Active-Learning for Young Aspiring Minds</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TTS</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Text-to-Speech (Speech Synthesis)</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UDID</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Unique Disability Identity Card</w:t>
            </w:r>
          </w:p>
        </w:tc>
      </w:tr>
      <w:tr>
        <w:tc>
          <w:tcPr>
            <w:tcW w:type="dxa" w:w="4154"/>
            <w:tcMar>
              <w:top w:w="40" w:type="dxa"/>
              <w:bottom w:w="40" w:type="dxa"/>
              <w:left w:w="100" w:type="dxa"/>
              <w:right w:w="100" w:type="dxa"/>
            </w:tcMar>
          </w:tcPr>
          <w:p>
            <w:pPr>
              <w:spacing w:line="240" w:lineRule="auto" w:after="40"/>
            </w:pPr>
            <w:r>
              <w:rPr>
                <w:rFonts w:ascii="Times New Roman" w:hAnsi="Times New Roman"/>
                <w:b/>
                <w:sz w:val="22"/>
              </w:rPr>
              <w:t>UI/UX</w:t>
            </w:r>
          </w:p>
        </w:tc>
        <w:tc>
          <w:tcPr>
            <w:tcW w:type="dxa" w:w="4154"/>
            <w:tcMar>
              <w:top w:w="40" w:type="dxa"/>
              <w:bottom w:w="40" w:type="dxa"/>
              <w:left w:w="100" w:type="dxa"/>
              <w:right w:w="100" w:type="dxa"/>
            </w:tcMar>
          </w:tcPr>
          <w:p>
            <w:pPr>
              <w:spacing w:line="240" w:lineRule="auto" w:after="40"/>
            </w:pPr>
            <w:r>
              <w:rPr>
                <w:rFonts w:ascii="Times New Roman" w:hAnsi="Times New Roman"/>
                <w:sz w:val="22"/>
              </w:rPr>
              <w:t>User Interface / User Experience</w:t>
            </w:r>
          </w:p>
        </w:tc>
      </w:tr>
    </w:tbl>
    <w:p>
      <w:r>
        <w:br w:type="page"/>
      </w:r>
    </w:p>
    <w:p>
      <w:pPr>
        <w:spacing w:before="360" w:after="240" w:line="276" w:lineRule="auto"/>
        <w:jc w:val="center"/>
      </w:pPr>
      <w:r>
        <w:rPr>
          <w:rFonts w:ascii="Times New Roman" w:hAnsi="Times New Roman"/>
          <w:b/>
          <w:color w:val="000000"/>
          <w:sz w:val="32"/>
        </w:rPr>
        <w:t>LIST OF FIGURES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770"/>
        <w:gridCol w:w="2770"/>
        <w:gridCol w:w="2770"/>
      </w:tblGrid>
      <w:tr>
        <w:tc>
          <w:tcPr>
            <w:tcW w:type="dxa" w:w="2160"/>
            <w:shd w:fill="EAEFF5"/>
            <w:tcMar>
              <w:top w:w="120" w:type="dxa"/>
              <w:bottom w:w="120" w:type="dxa"/>
              <w:left w:w="140" w:type="dxa"/>
              <w:right w:w="140" w:type="dxa"/>
            </w:tcMar>
          </w:tcPr>
          <w:p>
            <w:pPr>
              <w:spacing w:line="276" w:lineRule="auto" w:after="0" w:before="0"/>
              <w:jc w:val="center"/>
            </w:pPr>
            <w:r>
              <w:t>Figure No.</w:t>
            </w:r>
          </w:p>
        </w:tc>
        <w:tc>
          <w:tcPr>
            <w:tcW w:type="dxa" w:w="5472"/>
            <w:shd w:fill="EAEFF5"/>
            <w:tcMar>
              <w:top w:w="120" w:type="dxa"/>
              <w:bottom w:w="120" w:type="dxa"/>
              <w:left w:w="140" w:type="dxa"/>
              <w:right w:w="140" w:type="dxa"/>
            </w:tcMar>
          </w:tcPr>
          <w:p>
            <w:pPr>
              <w:spacing w:line="276" w:lineRule="auto" w:after="0" w:before="0"/>
              <w:jc w:val="center"/>
            </w:pPr>
            <w:r>
              <w:t>Figure Title</w:t>
            </w:r>
          </w:p>
        </w:tc>
        <w:tc>
          <w:tcPr>
            <w:tcW w:type="dxa" w:w="1008"/>
            <w:shd w:fill="EAEFF5"/>
            <w:tcMar>
              <w:top w:w="120" w:type="dxa"/>
              <w:bottom w:w="120" w:type="dxa"/>
              <w:left w:w="140" w:type="dxa"/>
              <w:right w:w="140" w:type="dxa"/>
            </w:tcMar>
          </w:tcPr>
          <w:p>
            <w:pPr>
              <w:spacing w:line="276" w:lineRule="auto" w:after="0" w:before="0"/>
              <w:jc w:val="center"/>
            </w:pPr>
            <w:r>
              <w:t>Page</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4.1</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VidyaUday Four-Layer System Architecture Block Diagram</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13</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4.2</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End-to-End User Guidance &amp; Decision Tree Flowchart</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14</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4.3</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Service Worker v6 PWA Stale-While-Revalidate Offline Cache Workflow</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16</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6.1</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VidyaUday Production Homepage Featuring Balanced 6-Module Hero Grid</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26</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6.2</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Curated AI Tools Hub with 1-Click Copyable Prompt Cheat Sheets</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27</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6.3</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Uday the Owl Conversational AI Voice Assistant in Active Dialogue</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27</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6.4</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Interactive Career Roadmap Explorer &amp; Degree Outcome Milestone Cards</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28</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6.5</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Dual-State Scholarship Hub and 30-Sec Eligibility Rule Checker</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28</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6.6</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Digitized SCERT Books Repository &amp; Free Learning Portals Directory</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29</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Figure 6.7</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Student Digital Literacy &amp; Cyber Scam Buster Safety Quiz Interface</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29</w:t>
            </w:r>
          </w:p>
        </w:tc>
      </w:tr>
    </w:tbl>
    <w:p>
      <w:r>
        <w:br w:type="page"/>
      </w:r>
    </w:p>
    <w:p>
      <w:pPr>
        <w:spacing w:before="360" w:after="240" w:line="276" w:lineRule="auto"/>
        <w:jc w:val="center"/>
      </w:pPr>
      <w:r>
        <w:rPr>
          <w:rFonts w:ascii="Times New Roman" w:hAnsi="Times New Roman"/>
          <w:b/>
          <w:color w:val="000000"/>
          <w:sz w:val="32"/>
        </w:rPr>
        <w:t>LIST OF TABLES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770"/>
        <w:gridCol w:w="2770"/>
        <w:gridCol w:w="2770"/>
      </w:tblGrid>
      <w:tr>
        <w:tc>
          <w:tcPr>
            <w:tcW w:type="dxa" w:w="2160"/>
            <w:shd w:fill="EAEFF5"/>
            <w:tcMar>
              <w:top w:w="120" w:type="dxa"/>
              <w:bottom w:w="120" w:type="dxa"/>
              <w:left w:w="140" w:type="dxa"/>
              <w:right w:w="140" w:type="dxa"/>
            </w:tcMar>
          </w:tcPr>
          <w:p>
            <w:pPr>
              <w:spacing w:line="276" w:lineRule="auto" w:after="0" w:before="0"/>
              <w:jc w:val="center"/>
            </w:pPr>
            <w:r>
              <w:t>Table No.</w:t>
            </w:r>
          </w:p>
        </w:tc>
        <w:tc>
          <w:tcPr>
            <w:tcW w:type="dxa" w:w="5472"/>
            <w:shd w:fill="EAEFF5"/>
            <w:tcMar>
              <w:top w:w="120" w:type="dxa"/>
              <w:bottom w:w="120" w:type="dxa"/>
              <w:left w:w="140" w:type="dxa"/>
              <w:right w:w="140" w:type="dxa"/>
            </w:tcMar>
          </w:tcPr>
          <w:p>
            <w:pPr>
              <w:spacing w:line="276" w:lineRule="auto" w:after="0" w:before="0"/>
              <w:jc w:val="center"/>
            </w:pPr>
            <w:r>
              <w:t>Table Title</w:t>
            </w:r>
          </w:p>
        </w:tc>
        <w:tc>
          <w:tcPr>
            <w:tcW w:type="dxa" w:w="1008"/>
            <w:shd w:fill="EAEFF5"/>
            <w:tcMar>
              <w:top w:w="120" w:type="dxa"/>
              <w:bottom w:w="120" w:type="dxa"/>
              <w:left w:w="140" w:type="dxa"/>
              <w:right w:w="140" w:type="dxa"/>
            </w:tcMar>
          </w:tcPr>
          <w:p>
            <w:pPr>
              <w:spacing w:line="276" w:lineRule="auto" w:after="0" w:before="0"/>
              <w:jc w:val="center"/>
            </w:pPr>
            <w:r>
              <w:t>Page</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Table 2.1</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Comparative Feature Matrix: VidyaUday vs. Contemporary Solutions</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7</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Table 3.1</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Official Government Welfare Gazettes &amp; Direct Benefit Transfer Curated Schemes</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9</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Table 3.2</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Post-10th &amp; Intermediate Career Stream Classification &amp; Salary Projections</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11</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Table 5.1</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Curated Free AI Tools Roster, Educational Value &amp; Student Application Modes</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19</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Table 5.2</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Uday the Owl Trilingual Speech Synthesis Engine Configuration Matrix</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20</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Table 6.1</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Lighthouse 10.0 Performance, Accessibility &amp; Offline Network Benchmark Audit</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31</w:t>
            </w:r>
          </w:p>
        </w:tc>
      </w:tr>
      <w:tr>
        <w:tc>
          <w:tcPr>
            <w:tcW w:type="dxa" w:w="2770"/>
            <w:tcMar>
              <w:top w:w="40" w:type="dxa"/>
              <w:bottom w:w="40" w:type="dxa"/>
              <w:left w:w="100" w:type="dxa"/>
              <w:right w:w="100" w:type="dxa"/>
            </w:tcMar>
          </w:tcPr>
          <w:p>
            <w:pPr>
              <w:spacing w:line="240" w:lineRule="auto" w:after="40"/>
            </w:pPr>
            <w:r>
              <w:rPr>
                <w:rFonts w:ascii="Times New Roman" w:hAnsi="Times New Roman"/>
                <w:b/>
                <w:sz w:val="22"/>
              </w:rPr>
              <w:t>Table 7.1</w:t>
            </w:r>
          </w:p>
        </w:tc>
        <w:tc>
          <w:tcPr>
            <w:tcW w:type="dxa" w:w="2770"/>
            <w:tcMar>
              <w:top w:w="40" w:type="dxa"/>
              <w:bottom w:w="40" w:type="dxa"/>
              <w:left w:w="100" w:type="dxa"/>
              <w:right w:w="100" w:type="dxa"/>
            </w:tcMar>
          </w:tcPr>
          <w:p>
            <w:pPr>
              <w:spacing w:line="240" w:lineRule="auto" w:after="40"/>
            </w:pPr>
            <w:r>
              <w:rPr>
                <w:rFonts w:ascii="Times New Roman" w:hAnsi="Times New Roman"/>
                <w:sz w:val="22"/>
              </w:rPr>
              <w:t>Quantitative Social, Educational &amp; Economic Impact Evaluation Summary</w:t>
            </w:r>
          </w:p>
        </w:tc>
        <w:tc>
          <w:tcPr>
            <w:tcW w:type="dxa" w:w="2770"/>
            <w:tcMar>
              <w:top w:w="40" w:type="dxa"/>
              <w:bottom w:w="40" w:type="dxa"/>
              <w:left w:w="100" w:type="dxa"/>
              <w:right w:w="100" w:type="dxa"/>
            </w:tcMar>
          </w:tcPr>
          <w:p>
            <w:pPr>
              <w:spacing w:line="240" w:lineRule="auto" w:after="40"/>
              <w:jc w:val="right"/>
            </w:pPr>
            <w:r>
              <w:rPr>
                <w:rFonts w:ascii="Times New Roman" w:hAnsi="Times New Roman"/>
                <w:sz w:val="22"/>
              </w:rPr>
              <w:t>34</w:t>
            </w:r>
          </w:p>
        </w:tc>
      </w:tr>
    </w:tbl>
    <w:p>
      <w:r>
        <w:br w:type="page"/>
      </w:r>
    </w:p>
    <w:p>
      <w:pPr>
        <w:sectPr>
          <w:footerReference w:type="default" r:id="rId10"/>
          <w:pgSz w:w="11909" w:h="16834"/>
          <w:pgMar w:top="1440" w:right="1440" w:bottom="1440" w:left="2160" w:header="720" w:footer="720" w:gutter="0"/>
          <w:cols w:space="720"/>
          <w:titlePg/>
          <w:docGrid w:linePitch="360"/>
        </w:sectPr>
      </w:pPr>
    </w:p>
    <w:p>
      <w:pPr>
        <w:spacing w:before="360" w:after="240" w:line="276" w:lineRule="auto"/>
        <w:jc w:val="center"/>
      </w:pPr>
      <w:r>
        <w:rPr>
          <w:rFonts w:ascii="Times New Roman" w:hAnsi="Times New Roman"/>
          <w:b/>
          <w:color w:val="000000"/>
          <w:sz w:val="32"/>
        </w:rPr>
        <w:t>CHAPTER 1: INTRODUCTION</w:t>
      </w:r>
    </w:p>
    <w:p>
      <w:pPr>
        <w:spacing w:before="240" w:after="120" w:line="276" w:lineRule="auto"/>
        <w:jc w:val="left"/>
      </w:pPr>
      <w:r>
        <w:rPr>
          <w:rFonts w:ascii="Times New Roman" w:hAnsi="Times New Roman"/>
          <w:b/>
          <w:color w:val="000000"/>
          <w:sz w:val="28"/>
        </w:rPr>
        <w:t>1.1 Problem Statement</w:t>
      </w:r>
    </w:p>
    <w:p>
      <w:pPr>
        <w:spacing w:line="240" w:lineRule="auto" w:after="120" w:before="0"/>
        <w:jc w:val="both"/>
      </w:pPr>
      <w:r>
        <w:rPr>
          <w:rFonts w:ascii="Times New Roman" w:hAnsi="Times New Roman"/>
          <w:color w:val="000000"/>
          <w:sz w:val="24"/>
        </w:rPr>
        <w:t>Rural 10th and Intermediate students face severe challenges after school due to a lack of career awareness, missed government scholarship deadlines, and exposure to online cyber scams. Existing government portals are complex and English-only, while private career counseling is locked behind expensive commercial paywalls. Furthermore, rural students are exploited by cyber café agents charging ₹200–₹500 per form submission, with zero access to emerging modern AI tools or offline-capable digital resources.</w:t>
      </w:r>
    </w:p>
    <w:p>
      <w:pPr>
        <w:spacing w:line="240" w:lineRule="auto" w:after="120" w:before="0"/>
        <w:jc w:val="both"/>
      </w:pPr>
      <w:r>
        <w:rPr>
          <w:rFonts w:ascii="Times New Roman" w:hAnsi="Times New Roman"/>
          <w:color w:val="000000"/>
          <w:sz w:val="24"/>
        </w:rPr>
        <w:t>The educational landscape across rural Indian secondary and higher secondary schools reveals a profound structural paradox. While mobile network expansion and affordable Android handsets have democratized basic telecommunication, educational and vocational advancement remain severely bottlenecked. First-generation learners in government zilla parishad high schools and rural junior colleges navigate critical life transitions without institutional career counseling. The absence of localized guidance creates a severe herd mentality, wherein over 85% of rural matriculates default unquestioningly to conventional streams without understanding their aptitude, intermediate course loads, diploma pathways, or the rapidly evolving artificial intelligence landscape.</w:t>
      </w:r>
    </w:p>
    <w:p>
      <w:pPr>
        <w:spacing w:before="240" w:after="120" w:line="276" w:lineRule="auto"/>
        <w:jc w:val="left"/>
      </w:pPr>
      <w:r>
        <w:rPr>
          <w:rFonts w:ascii="Times New Roman" w:hAnsi="Times New Roman"/>
          <w:b/>
          <w:color w:val="000000"/>
          <w:sz w:val="28"/>
        </w:rPr>
        <w:t>1.2 Project Objective</w:t>
      </w:r>
    </w:p>
    <w:p>
      <w:pPr>
        <w:spacing w:line="240" w:lineRule="auto" w:after="120" w:before="0"/>
        <w:jc w:val="both"/>
      </w:pPr>
      <w:r>
        <w:rPr>
          <w:rFonts w:ascii="Times New Roman" w:hAnsi="Times New Roman"/>
          <w:color w:val="000000"/>
          <w:sz w:val="24"/>
        </w:rPr>
        <w:t>The primary objective of VidyaUday is to design, develop, and deploy an open-access, bilingual digital platform that bridges the urban-rural educational divide through the following specific milestones:</w:t>
      </w:r>
    </w:p>
    <w:p>
      <w:pPr>
        <w:pStyle w:val="ListBullet"/>
        <w:spacing w:line="240" w:lineRule="auto" w:after="80" w:before="0"/>
        <w:jc w:val="both"/>
      </w:pPr>
      <w:r>
        <w:rPr>
          <w:rFonts w:ascii="Times New Roman" w:hAnsi="Times New Roman"/>
          <w:b/>
          <w:color w:val="000000"/>
          <w:sz w:val="24"/>
        </w:rPr>
        <w:t>Democratize AI Literacy:</w:t>
      </w:r>
      <w:r>
        <w:rPr>
          <w:rFonts w:ascii="Times New Roman" w:hAnsi="Times New Roman"/>
          <w:color w:val="000000"/>
          <w:sz w:val="24"/>
        </w:rPr>
        <w:t xml:space="preserve"> To curate and simplify top free modern Artificial Intelligence tools (ChatGPT, Gemini, Canva, Gamma, GitHub) with 1-click copyable student prompt cards specifically tailored for homework solving, essay outlining, and vernacular translation.</w:t>
      </w:r>
    </w:p>
    <w:p>
      <w:pPr>
        <w:pStyle w:val="ListBullet"/>
        <w:spacing w:line="240" w:lineRule="auto" w:after="80" w:before="0"/>
        <w:jc w:val="both"/>
      </w:pPr>
      <w:r>
        <w:rPr>
          <w:rFonts w:ascii="Times New Roman" w:hAnsi="Times New Roman"/>
          <w:b/>
          <w:color w:val="000000"/>
          <w:sz w:val="24"/>
        </w:rPr>
        <w:t>Provide Vernacular AI Mentorship:</w:t>
      </w:r>
      <w:r>
        <w:rPr>
          <w:rFonts w:ascii="Times New Roman" w:hAnsi="Times New Roman"/>
          <w:color w:val="000000"/>
          <w:sz w:val="24"/>
        </w:rPr>
        <w:t xml:space="preserve"> To build 'Uday the Owl', an interactive conversational AI study assistant powered by Google Gemini 1.5 Flash API with speech-to-text and voice read-out capabilities in both English and Telugu.</w:t>
      </w:r>
    </w:p>
    <w:p>
      <w:pPr>
        <w:pStyle w:val="ListBullet"/>
        <w:spacing w:line="240" w:lineRule="auto" w:after="80" w:before="0"/>
        <w:jc w:val="both"/>
      </w:pPr>
      <w:r>
        <w:rPr>
          <w:rFonts w:ascii="Times New Roman" w:hAnsi="Times New Roman"/>
          <w:b/>
          <w:color w:val="000000"/>
          <w:sz w:val="24"/>
        </w:rPr>
        <w:t>Offer Clear Career Trajectories:</w:t>
      </w:r>
      <w:r>
        <w:rPr>
          <w:rFonts w:ascii="Times New Roman" w:hAnsi="Times New Roman"/>
          <w:color w:val="000000"/>
          <w:sz w:val="24"/>
        </w:rPr>
        <w:t xml:space="preserve"> To map structured academic and vocational paths after 10th (SSC) and Intermediate (+2) across MPC, BiPC, CEC, MEC, Polytechnic, and ITI, complete with realistic 3-to-5 year salary trajectories.</w:t>
      </w:r>
    </w:p>
    <w:p>
      <w:pPr>
        <w:pStyle w:val="ListBullet"/>
        <w:spacing w:line="240" w:lineRule="auto" w:after="80" w:before="0"/>
        <w:jc w:val="both"/>
      </w:pPr>
      <w:r>
        <w:rPr>
          <w:rFonts w:ascii="Times New Roman" w:hAnsi="Times New Roman"/>
          <w:b/>
          <w:color w:val="000000"/>
          <w:sz w:val="24"/>
        </w:rPr>
        <w:t>Eliminate Scholarship Discovery Friction:</w:t>
      </w:r>
      <w:r>
        <w:rPr>
          <w:rFonts w:ascii="Times New Roman" w:hAnsi="Times New Roman"/>
          <w:color w:val="000000"/>
          <w:sz w:val="24"/>
        </w:rPr>
        <w:t xml:space="preserve"> To unify central and state welfare notifications into an instant, 30-second eligibility evaluation engine that removes reliance on commercial cyber café operators.</w:t>
      </w:r>
    </w:p>
    <w:p>
      <w:pPr>
        <w:pStyle w:val="ListBullet"/>
        <w:spacing w:line="240" w:lineRule="auto" w:after="80" w:before="0"/>
        <w:jc w:val="both"/>
      </w:pPr>
      <w:r>
        <w:rPr>
          <w:rFonts w:ascii="Times New Roman" w:hAnsi="Times New Roman"/>
          <w:b/>
          <w:color w:val="000000"/>
          <w:sz w:val="24"/>
        </w:rPr>
        <w:t>Instill Practical Cyber Hygiene:</w:t>
      </w:r>
      <w:r>
        <w:rPr>
          <w:rFonts w:ascii="Times New Roman" w:hAnsi="Times New Roman"/>
          <w:color w:val="000000"/>
          <w:sz w:val="24"/>
        </w:rPr>
        <w:t xml:space="preserve"> To educate rural youth against fake scholarship scams, fee advance fraud, and phishing traps while connecting them to DigiLocker and the 1930 National Cybercrime Reporting Helpline.</w:t>
      </w:r>
    </w:p>
    <w:p>
      <w:pPr>
        <w:pStyle w:val="ListBullet"/>
        <w:spacing w:line="240" w:lineRule="auto" w:after="80" w:before="0"/>
        <w:jc w:val="both"/>
      </w:pPr>
      <w:r>
        <w:rPr>
          <w:rFonts w:ascii="Times New Roman" w:hAnsi="Times New Roman"/>
          <w:b/>
          <w:color w:val="000000"/>
          <w:sz w:val="24"/>
        </w:rPr>
        <w:t>Ensure Universal Offline Accessibility:</w:t>
      </w:r>
      <w:r>
        <w:rPr>
          <w:rFonts w:ascii="Times New Roman" w:hAnsi="Times New Roman"/>
          <w:color w:val="000000"/>
          <w:sz w:val="24"/>
        </w:rPr>
        <w:t xml:space="preserve"> To engineer a lightweight Progressive Web App (PWA) architecture utilizing Service Worker caching to ensure 100% offline access to all roadmaps, tools, and calculators without requiring high-speed data.</w:t>
      </w:r>
    </w:p>
    <w:p>
      <w:pPr>
        <w:spacing w:before="240" w:after="120" w:line="276" w:lineRule="auto"/>
        <w:jc w:val="left"/>
      </w:pPr>
      <w:r>
        <w:rPr>
          <w:rFonts w:ascii="Times New Roman" w:hAnsi="Times New Roman"/>
          <w:b/>
          <w:color w:val="000000"/>
          <w:sz w:val="28"/>
        </w:rPr>
        <w:t>1.3 Scope of the Project</w:t>
      </w:r>
    </w:p>
    <w:p>
      <w:pPr>
        <w:spacing w:before="160" w:after="80" w:line="240" w:lineRule="auto"/>
        <w:jc w:val="left"/>
      </w:pPr>
      <w:r>
        <w:rPr>
          <w:rFonts w:ascii="Times New Roman" w:hAnsi="Times New Roman"/>
          <w:b/>
          <w:color w:val="000000"/>
          <w:sz w:val="24"/>
        </w:rPr>
        <w:t>1.3.1 In-Scope Platform Capabilities</w:t>
      </w:r>
    </w:p>
    <w:p>
      <w:pPr>
        <w:spacing w:line="240" w:lineRule="auto" w:after="120" w:before="0"/>
        <w:jc w:val="both"/>
      </w:pPr>
      <w:r>
        <w:rPr>
          <w:rFonts w:ascii="Times New Roman" w:hAnsi="Times New Roman"/>
          <w:color w:val="000000"/>
          <w:sz w:val="24"/>
        </w:rPr>
        <w:t>The VidyaUday platform is deliberately architected to deliver the following tangible functional capabilities directly within any standard mobile or desktop browser:</w:t>
      </w:r>
    </w:p>
    <w:p>
      <w:pPr>
        <w:pStyle w:val="ListBullet"/>
        <w:spacing w:line="240" w:lineRule="auto" w:after="80" w:before="0"/>
        <w:jc w:val="both"/>
      </w:pPr>
      <w:r>
        <w:rPr>
          <w:rFonts w:ascii="Times New Roman" w:hAnsi="Times New Roman"/>
          <w:b/>
          <w:color w:val="000000"/>
          <w:sz w:val="24"/>
        </w:rPr>
        <w:t>Target Demographic:</w:t>
      </w:r>
      <w:r>
        <w:rPr>
          <w:rFonts w:ascii="Times New Roman" w:hAnsi="Times New Roman"/>
          <w:color w:val="000000"/>
          <w:sz w:val="24"/>
        </w:rPr>
        <w:t xml:space="preserve"> Comprehensive educational coverage designed specifically for rural 10th (SSC), Intermediate (+2), Polytechnic, and ITI students.</w:t>
      </w:r>
    </w:p>
    <w:p>
      <w:pPr>
        <w:pStyle w:val="ListBullet"/>
        <w:spacing w:line="240" w:lineRule="auto" w:after="80" w:before="0"/>
        <w:jc w:val="both"/>
      </w:pPr>
      <w:r>
        <w:rPr>
          <w:rFonts w:ascii="Times New Roman" w:hAnsi="Times New Roman"/>
          <w:b/>
          <w:color w:val="000000"/>
          <w:sz w:val="24"/>
        </w:rPr>
        <w:t>Integrated Modules:</w:t>
      </w:r>
      <w:r>
        <w:rPr>
          <w:rFonts w:ascii="Times New Roman" w:hAnsi="Times New Roman"/>
          <w:color w:val="000000"/>
          <w:sz w:val="24"/>
        </w:rPr>
        <w:t xml:space="preserve"> Seven dedicated feature hubs comprising an AI Tools Directory, Conversational Voice Assistant, Career Roadmaps, Scholarship Eligibility Matcher, Digitized SCERT Textbook Hub, Coding Playground, and Cyber Scam Buster.</w:t>
      </w:r>
    </w:p>
    <w:p>
      <w:pPr>
        <w:pStyle w:val="ListBullet"/>
        <w:spacing w:line="240" w:lineRule="auto" w:after="80" w:before="0"/>
        <w:jc w:val="both"/>
      </w:pPr>
      <w:r>
        <w:rPr>
          <w:rFonts w:ascii="Times New Roman" w:hAnsi="Times New Roman"/>
          <w:b/>
          <w:color w:val="000000"/>
          <w:sz w:val="24"/>
        </w:rPr>
        <w:t>Bilingual Localization:</w:t>
      </w:r>
      <w:r>
        <w:rPr>
          <w:rFonts w:ascii="Times New Roman" w:hAnsi="Times New Roman"/>
          <w:color w:val="000000"/>
          <w:sz w:val="24"/>
        </w:rPr>
        <w:t xml:space="preserve"> Instant 1-click toggling between English and Telugu across all user interface elements, tool descriptions, and spoken syntheses.</w:t>
      </w:r>
    </w:p>
    <w:p>
      <w:pPr>
        <w:pStyle w:val="ListBullet"/>
        <w:spacing w:line="240" w:lineRule="auto" w:after="80" w:before="0"/>
        <w:jc w:val="both"/>
      </w:pPr>
      <w:r>
        <w:rPr>
          <w:rFonts w:ascii="Times New Roman" w:hAnsi="Times New Roman"/>
          <w:b/>
          <w:color w:val="000000"/>
          <w:sz w:val="24"/>
        </w:rPr>
        <w:t>Instant Computation:</w:t>
      </w:r>
      <w:r>
        <w:rPr>
          <w:rFonts w:ascii="Times New Roman" w:hAnsi="Times New Roman"/>
          <w:color w:val="000000"/>
          <w:sz w:val="24"/>
        </w:rPr>
        <w:t xml:space="preserve"> Client-side JSON rule evaluation executing within 50 milliseconds directly in the browser without server latency or user authentication hurdles.</w:t>
      </w:r>
    </w:p>
    <w:p>
      <w:pPr>
        <w:pStyle w:val="ListBullet"/>
        <w:spacing w:line="240" w:lineRule="auto" w:after="80" w:before="0"/>
        <w:jc w:val="both"/>
      </w:pPr>
      <w:r>
        <w:rPr>
          <w:rFonts w:ascii="Times New Roman" w:hAnsi="Times New Roman"/>
          <w:b/>
          <w:color w:val="000000"/>
          <w:sz w:val="24"/>
        </w:rPr>
        <w:t>Offline Functionality:</w:t>
      </w:r>
      <w:r>
        <w:rPr>
          <w:rFonts w:ascii="Times New Roman" w:hAnsi="Times New Roman"/>
          <w:color w:val="000000"/>
          <w:sz w:val="24"/>
        </w:rPr>
        <w:t xml:space="preserve"> Comprehensive PWA caching allowing offline review of study paths, schemes, and quizzes on rural mobile devices.</w:t>
      </w:r>
    </w:p>
    <w:p>
      <w:pPr>
        <w:spacing w:before="160" w:after="80" w:line="240" w:lineRule="auto"/>
        <w:jc w:val="left"/>
      </w:pPr>
      <w:r>
        <w:rPr>
          <w:rFonts w:ascii="Times New Roman" w:hAnsi="Times New Roman"/>
          <w:b/>
          <w:color w:val="000000"/>
          <w:sz w:val="24"/>
        </w:rPr>
        <w:t>1.3.2 Out-of-Scope (Deliberate Boundaries)</w:t>
      </w:r>
    </w:p>
    <w:p>
      <w:pPr>
        <w:spacing w:line="240" w:lineRule="auto" w:after="120" w:before="0"/>
        <w:jc w:val="both"/>
      </w:pPr>
      <w:r>
        <w:rPr>
          <w:rFonts w:ascii="Times New Roman" w:hAnsi="Times New Roman"/>
          <w:color w:val="000000"/>
          <w:sz w:val="24"/>
        </w:rPr>
        <w:t>To maintain absolute focus, student privacy, and operational integrity, VidyaUday establishes the following explicit system boundaries:</w:t>
      </w:r>
    </w:p>
    <w:p>
      <w:pPr>
        <w:pStyle w:val="ListBullet"/>
        <w:spacing w:line="240" w:lineRule="auto" w:after="80" w:before="0"/>
        <w:jc w:val="both"/>
      </w:pPr>
      <w:r>
        <w:rPr>
          <w:rFonts w:ascii="Times New Roman" w:hAnsi="Times New Roman"/>
          <w:b/>
          <w:color w:val="000000"/>
          <w:sz w:val="24"/>
        </w:rPr>
        <w:t>Not a Classroom Substitute:</w:t>
      </w:r>
      <w:r>
        <w:rPr>
          <w:rFonts w:ascii="Times New Roman" w:hAnsi="Times New Roman"/>
          <w:color w:val="000000"/>
          <w:sz w:val="24"/>
        </w:rPr>
        <w:t xml:space="preserve"> VidyaUday functions strictly as an informational and guidance bridge. It does not replace classroom teachers or replicate formal school syllabi.</w:t>
      </w:r>
    </w:p>
    <w:p>
      <w:pPr>
        <w:pStyle w:val="ListBullet"/>
        <w:spacing w:line="240" w:lineRule="auto" w:after="80" w:before="0"/>
        <w:jc w:val="both"/>
      </w:pPr>
      <w:r>
        <w:rPr>
          <w:rFonts w:ascii="Times New Roman" w:hAnsi="Times New Roman"/>
          <w:b/>
          <w:color w:val="000000"/>
          <w:sz w:val="24"/>
        </w:rPr>
        <w:t>No Financial Processing:</w:t>
      </w:r>
      <w:r>
        <w:rPr>
          <w:rFonts w:ascii="Times New Roman" w:hAnsi="Times New Roman"/>
          <w:color w:val="000000"/>
          <w:sz w:val="24"/>
        </w:rPr>
        <w:t xml:space="preserve"> The platform does not collect bank account numbers, IFSC codes, Aadhaar biometric tokens, or disburse funds. All applications redirect strictly to official government portals (e.g., scholarships.gov.in, jnanabhumi.ap.gov.in).</w:t>
      </w:r>
    </w:p>
    <w:p>
      <w:pPr>
        <w:pStyle w:val="ListBullet"/>
        <w:spacing w:line="240" w:lineRule="auto" w:after="80" w:before="0"/>
        <w:jc w:val="both"/>
      </w:pPr>
      <w:r>
        <w:rPr>
          <w:rFonts w:ascii="Times New Roman" w:hAnsi="Times New Roman"/>
          <w:b/>
          <w:color w:val="000000"/>
          <w:sz w:val="24"/>
        </w:rPr>
        <w:t>Zero Backend Tracking:</w:t>
      </w:r>
      <w:r>
        <w:rPr>
          <w:rFonts w:ascii="Times New Roman" w:hAnsi="Times New Roman"/>
          <w:color w:val="000000"/>
          <w:sz w:val="24"/>
        </w:rPr>
        <w:t xml:space="preserve"> Operates entirely client-side without storing personal user phone numbers, email addresses, or browsing logs on external servers, ensuring zero commercial tracking.</w:t>
      </w:r>
    </w:p>
    <w:p>
      <w:r>
        <w:br w:type="page"/>
      </w:r>
    </w:p>
    <w:p>
      <w:pPr>
        <w:spacing w:before="360" w:after="240" w:line="276" w:lineRule="auto"/>
        <w:jc w:val="center"/>
      </w:pPr>
      <w:r>
        <w:rPr>
          <w:rFonts w:ascii="Times New Roman" w:hAnsi="Times New Roman"/>
          <w:b/>
          <w:color w:val="000000"/>
          <w:sz w:val="32"/>
        </w:rPr>
        <w:t>CHAPTER 2: LITERATURE SURVEY</w:t>
      </w:r>
    </w:p>
    <w:p>
      <w:pPr>
        <w:spacing w:before="240" w:after="120" w:line="276" w:lineRule="auto"/>
        <w:jc w:val="left"/>
      </w:pPr>
      <w:r>
        <w:rPr>
          <w:rFonts w:ascii="Times New Roman" w:hAnsi="Times New Roman"/>
          <w:b/>
          <w:color w:val="000000"/>
          <w:sz w:val="28"/>
        </w:rPr>
        <w:t>2.1 National Education Policy (NEP 2020) Recommendations</w:t>
      </w:r>
    </w:p>
    <w:p>
      <w:pPr>
        <w:spacing w:line="240" w:lineRule="auto" w:after="120" w:before="0"/>
        <w:jc w:val="both"/>
      </w:pPr>
      <w:r>
        <w:rPr>
          <w:rFonts w:ascii="Times New Roman" w:hAnsi="Times New Roman"/>
          <w:color w:val="000000"/>
          <w:sz w:val="24"/>
        </w:rPr>
        <w:t>The National Education Policy (NEP 2020) promulgated by the Ministry of Education, Government of India, strongly emphasizes the democratization of technological tools, early career awareness, and mother-tongue instruction. NEP 2020 explicitly underscores that secondary education must transition from rote memorization toward experiential and digital learning paradigms. Section 4.23 of NEP 2020 states that students in secondary schools must be exposed to vocational opportunities, emerging technologies, and computational thinking early to prevent dropouts and foster self-reliance. However, while national policy frameworks prescribe digital integration, the ground-level reality in rural schools demonstrates an implementation gap: regional curricula lack structured modules explaining how students can use generative AI tools, verify government welfare schemes, or evaluate career options independently.</w:t>
      </w:r>
    </w:p>
    <w:p>
      <w:pPr>
        <w:spacing w:before="240" w:after="120" w:line="276" w:lineRule="auto"/>
        <w:jc w:val="left"/>
      </w:pPr>
      <w:r>
        <w:rPr>
          <w:rFonts w:ascii="Times New Roman" w:hAnsi="Times New Roman"/>
          <w:b/>
          <w:color w:val="000000"/>
          <w:sz w:val="28"/>
        </w:rPr>
        <w:t>2.2 ASER Rural Technology &amp; Educational Survey Analysis</w:t>
      </w:r>
    </w:p>
    <w:p>
      <w:pPr>
        <w:spacing w:line="240" w:lineRule="auto" w:after="120" w:before="0"/>
        <w:jc w:val="both"/>
      </w:pPr>
      <w:r>
        <w:rPr>
          <w:rFonts w:ascii="Times New Roman" w:hAnsi="Times New Roman"/>
          <w:color w:val="000000"/>
          <w:sz w:val="24"/>
        </w:rPr>
        <w:t>The Annual Status of Education Report (ASER) published by the Pratham Education Foundation provides extensive empirical data regarding technological penetration in rural India. ASER rural surveys indicate that while household smartphone availability in rural states including Andhra Pradesh and Telangana surged beyond 75% in the post-pandemic era, over 82% of rural adolescents utilize their mobile devices exclusively for entertainment and social media consumption. Fewer than 14% of surveyed students had ever accessed educational guidance portals or submitted online scholarship forms independently. The primary impediments identified include complex English navigation, lack of vernacular prompts, fear of making transactional errors, and intimidation caused by multi-tiered government websites.</w:t>
      </w:r>
    </w:p>
    <w:p>
      <w:pPr>
        <w:spacing w:before="240" w:after="120" w:line="276" w:lineRule="auto"/>
        <w:jc w:val="left"/>
      </w:pPr>
      <w:r>
        <w:rPr>
          <w:rFonts w:ascii="Times New Roman" w:hAnsi="Times New Roman"/>
          <w:b/>
          <w:color w:val="000000"/>
          <w:sz w:val="28"/>
        </w:rPr>
        <w:t>2.3 Critical Assessment of Government Welfare Portals</w:t>
      </w:r>
    </w:p>
    <w:p>
      <w:pPr>
        <w:spacing w:line="240" w:lineRule="auto" w:after="120" w:before="0"/>
        <w:jc w:val="both"/>
      </w:pPr>
      <w:r>
        <w:rPr>
          <w:rFonts w:ascii="Times New Roman" w:hAnsi="Times New Roman"/>
          <w:color w:val="000000"/>
          <w:sz w:val="24"/>
        </w:rPr>
        <w:t>Both the Central and State Governments have established massive digital welfare delivery mechanisms, most notably the National Scholarship Portal (NSP), Andhra Pradesh Jnanabhumi/ePASS, and Telangana ePASS. While these platforms process thousands of crores in Direct Benefit Transfer (DBT) funds annually, their user interfaces are engineered primarily for administrative compliance rather than student usability. Rural applicants encounter dense PDF gazettes, cryptic eligibility clauses, recurring server timeouts during peak admissions periods, and mandatory multi-step logins. Unable to decipher these technical portals, rural families frequently turn to commercial cyber café intermediaries who exploit their lack of digital familiarity, charging high service fees and occasionally committing application errors that result in scholarship rejections.</w:t>
      </w:r>
    </w:p>
    <w:p>
      <w:pPr>
        <w:spacing w:before="240" w:after="120" w:line="276" w:lineRule="auto"/>
        <w:jc w:val="left"/>
      </w:pPr>
      <w:r>
        <w:rPr>
          <w:rFonts w:ascii="Times New Roman" w:hAnsi="Times New Roman"/>
          <w:b/>
          <w:color w:val="000000"/>
          <w:sz w:val="28"/>
        </w:rPr>
        <w:t>2.4 Commercial EdTech Monopolies &amp; Socio-Economic Paywalls</w:t>
      </w:r>
    </w:p>
    <w:p>
      <w:pPr>
        <w:spacing w:line="240" w:lineRule="auto" w:after="120" w:before="0"/>
        <w:jc w:val="both"/>
      </w:pPr>
      <w:r>
        <w:rPr>
          <w:rFonts w:ascii="Times New Roman" w:hAnsi="Times New Roman"/>
          <w:color w:val="000000"/>
          <w:sz w:val="24"/>
        </w:rPr>
        <w:t>In the private sector, prominent EdTech platforms offer sophisticated career diagnostic tests, psychometric profiling, and personalized mentoring suites. However, these commercial offerings cater almost exclusively to affluent urban students, with annual subscription packages ranging from ₹20,000 to ₹50,000. Furthermore, these platforms presume high-speed broadband connectivity, advanced digital literacy, and English fluency. Rural learners are completely alienated by these commercial paywalls, further exacerbating the educational divide between urban centers and rural villages.</w:t>
      </w:r>
    </w:p>
    <w:p>
      <w:pPr>
        <w:spacing w:before="240" w:after="120" w:line="276" w:lineRule="auto"/>
        <w:jc w:val="left"/>
      </w:pPr>
      <w:r>
        <w:rPr>
          <w:rFonts w:ascii="Times New Roman" w:hAnsi="Times New Roman"/>
          <w:b/>
          <w:color w:val="000000"/>
          <w:sz w:val="28"/>
        </w:rPr>
        <w:t>2.5 Gap Analysis &amp; Comparative Feature Matrix</w:t>
      </w:r>
    </w:p>
    <w:p>
      <w:pPr>
        <w:spacing w:line="240" w:lineRule="auto" w:after="120" w:before="0"/>
        <w:jc w:val="both"/>
      </w:pPr>
      <w:r>
        <w:rPr>
          <w:rFonts w:ascii="Times New Roman" w:hAnsi="Times New Roman"/>
          <w:color w:val="000000"/>
          <w:sz w:val="24"/>
        </w:rPr>
        <w:t>A rigorous comparative analysis of existing informational channels reveals the specific technological and pedagogical void that VidyaUday resolves. Table 2.1 summarizes the key differentiators between VidyaUday and conventional platforms.</w:t>
      </w:r>
    </w:p>
    <w:p>
      <w:pPr>
        <w:spacing w:before="240" w:after="80"/>
        <w:jc w:val="center"/>
      </w:pPr>
      <w:r>
        <w:rPr>
          <w:rFonts w:ascii="Times New Roman" w:hAnsi="Times New Roman"/>
          <w:b/>
          <w:sz w:val="24"/>
        </w:rPr>
        <w:t xml:space="preserve">Table 2.1: </w:t>
      </w:r>
      <w:r>
        <w:rPr>
          <w:rFonts w:ascii="Times New Roman" w:hAnsi="Times New Roman"/>
          <w:b/>
          <w:sz w:val="24"/>
        </w:rPr>
        <w:t>Comparative Feature Matrix: VidyaUday vs. Contemporary Solutions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662"/>
        <w:gridCol w:w="1662"/>
        <w:gridCol w:w="1662"/>
        <w:gridCol w:w="1662"/>
        <w:gridCol w:w="1662"/>
      </w:tblGrid>
      <w:tr>
        <w:tc>
          <w:tcPr>
            <w:tcW w:type="dxa" w:w="2304"/>
            <w:shd w:fill="EAEFF5"/>
            <w:tcMar>
              <w:top w:w="120" w:type="dxa"/>
              <w:bottom w:w="120" w:type="dxa"/>
              <w:left w:w="140" w:type="dxa"/>
              <w:right w:w="140" w:type="dxa"/>
            </w:tcMar>
          </w:tcPr>
          <w:p>
            <w:pPr>
              <w:spacing w:line="276" w:lineRule="auto" w:after="0" w:before="0"/>
              <w:jc w:val="center"/>
            </w:pPr>
            <w:r>
              <w:t>Feature / Metric</w:t>
            </w:r>
          </w:p>
        </w:tc>
        <w:tc>
          <w:tcPr>
            <w:tcW w:type="dxa" w:w="1728"/>
            <w:shd w:fill="EAEFF5"/>
            <w:tcMar>
              <w:top w:w="120" w:type="dxa"/>
              <w:bottom w:w="120" w:type="dxa"/>
              <w:left w:w="140" w:type="dxa"/>
              <w:right w:w="140" w:type="dxa"/>
            </w:tcMar>
          </w:tcPr>
          <w:p>
            <w:pPr>
              <w:spacing w:line="276" w:lineRule="auto" w:after="0" w:before="0"/>
              <w:jc w:val="center"/>
            </w:pPr>
            <w:r>
              <w:t>VidyaUday</w:t>
            </w:r>
          </w:p>
        </w:tc>
        <w:tc>
          <w:tcPr>
            <w:tcW w:type="dxa" w:w="1728"/>
            <w:shd w:fill="EAEFF5"/>
            <w:tcMar>
              <w:top w:w="120" w:type="dxa"/>
              <w:bottom w:w="120" w:type="dxa"/>
              <w:left w:w="140" w:type="dxa"/>
              <w:right w:w="140" w:type="dxa"/>
            </w:tcMar>
          </w:tcPr>
          <w:p>
            <w:pPr>
              <w:spacing w:line="276" w:lineRule="auto" w:after="0" w:before="0"/>
              <w:jc w:val="center"/>
            </w:pPr>
            <w:r>
              <w:t>Govt Portals (NSP)</w:t>
            </w:r>
          </w:p>
        </w:tc>
        <w:tc>
          <w:tcPr>
            <w:tcW w:type="dxa" w:w="1728"/>
            <w:shd w:fill="EAEFF5"/>
            <w:tcMar>
              <w:top w:w="120" w:type="dxa"/>
              <w:bottom w:w="120" w:type="dxa"/>
              <w:left w:w="140" w:type="dxa"/>
              <w:right w:w="140" w:type="dxa"/>
            </w:tcMar>
          </w:tcPr>
          <w:p>
            <w:pPr>
              <w:spacing w:line="276" w:lineRule="auto" w:after="0" w:before="0"/>
              <w:jc w:val="center"/>
            </w:pPr>
            <w:r>
              <w:t>EdTech Portals</w:t>
            </w:r>
          </w:p>
        </w:tc>
        <w:tc>
          <w:tcPr>
            <w:tcW w:type="dxa" w:w="1440"/>
            <w:shd w:fill="EAEFF5"/>
            <w:tcMar>
              <w:top w:w="120" w:type="dxa"/>
              <w:bottom w:w="120" w:type="dxa"/>
              <w:left w:w="140" w:type="dxa"/>
              <w:right w:w="140" w:type="dxa"/>
            </w:tcMar>
          </w:tcPr>
          <w:p>
            <w:pPr>
              <w:spacing w:line="276" w:lineRule="auto" w:after="0" w:before="0"/>
              <w:jc w:val="center"/>
            </w:pPr>
            <w:r>
              <w:t>Static PDFs</w:t>
            </w:r>
          </w:p>
        </w:tc>
      </w:tr>
      <w:tr>
        <w:tc>
          <w:tcPr>
            <w:tcW w:type="dxa" w:w="1662"/>
          </w:tcPr>
          <w:p>
            <w:r>
              <w:t>Access Cost &amp; Ads</w:t>
            </w:r>
          </w:p>
        </w:tc>
        <w:tc>
          <w:tcPr>
            <w:tcW w:type="dxa" w:w="1662"/>
          </w:tcPr>
          <w:p>
            <w:r>
              <w:rPr>
                <w:b/>
              </w:rPr>
              <w:t>100% Free / Zero Ads</w:t>
            </w:r>
          </w:p>
        </w:tc>
        <w:tc>
          <w:tcPr>
            <w:tcW w:type="dxa" w:w="1662"/>
          </w:tcPr>
          <w:p>
            <w:r>
              <w:t>Free (Complex UI)</w:t>
            </w:r>
          </w:p>
        </w:tc>
        <w:tc>
          <w:tcPr>
            <w:tcW w:type="dxa" w:w="1662"/>
          </w:tcPr>
          <w:p>
            <w:r>
              <w:t>₹20K–₹50K Paywall</w:t>
            </w:r>
          </w:p>
        </w:tc>
        <w:tc>
          <w:tcPr>
            <w:tcW w:type="dxa" w:w="1662"/>
          </w:tcPr>
          <w:p>
            <w:r>
              <w:t>Free</w:t>
            </w:r>
          </w:p>
        </w:tc>
      </w:tr>
      <w:tr>
        <w:tc>
          <w:tcPr>
            <w:tcW w:type="dxa" w:w="1662"/>
          </w:tcPr>
          <w:p>
            <w:r>
              <w:t>Bilingual Localization</w:t>
            </w:r>
          </w:p>
        </w:tc>
        <w:tc>
          <w:tcPr>
            <w:tcW w:type="dxa" w:w="1662"/>
          </w:tcPr>
          <w:p>
            <w:r>
              <w:rPr>
                <w:b/>
              </w:rPr>
              <w:t>English &amp; Telugu Native</w:t>
            </w:r>
          </w:p>
        </w:tc>
        <w:tc>
          <w:tcPr>
            <w:tcW w:type="dxa" w:w="1662"/>
          </w:tcPr>
          <w:p>
            <w:r>
              <w:t>English (Partial)</w:t>
            </w:r>
          </w:p>
        </w:tc>
        <w:tc>
          <w:tcPr>
            <w:tcW w:type="dxa" w:w="1662"/>
          </w:tcPr>
          <w:p>
            <w:r>
              <w:t>English Only</w:t>
            </w:r>
          </w:p>
        </w:tc>
        <w:tc>
          <w:tcPr>
            <w:tcW w:type="dxa" w:w="1662"/>
          </w:tcPr>
          <w:p>
            <w:r>
              <w:t>English Only</w:t>
            </w:r>
          </w:p>
        </w:tc>
      </w:tr>
      <w:tr>
        <w:tc>
          <w:tcPr>
            <w:tcW w:type="dxa" w:w="1662"/>
          </w:tcPr>
          <w:p>
            <w:r>
              <w:t>Curated AI Tools &amp; Prompts</w:t>
            </w:r>
          </w:p>
        </w:tc>
        <w:tc>
          <w:tcPr>
            <w:tcW w:type="dxa" w:w="1662"/>
          </w:tcPr>
          <w:p>
            <w:r>
              <w:rPr>
                <w:b/>
              </w:rPr>
              <w:t>Yes (10+ Free Tools)</w:t>
            </w:r>
          </w:p>
        </w:tc>
        <w:tc>
          <w:tcPr>
            <w:tcW w:type="dxa" w:w="1662"/>
          </w:tcPr>
          <w:p>
            <w:r>
              <w:t>None</w:t>
            </w:r>
          </w:p>
        </w:tc>
        <w:tc>
          <w:tcPr>
            <w:tcW w:type="dxa" w:w="1662"/>
          </w:tcPr>
          <w:p>
            <w:r>
              <w:t>Paid AI Tutors</w:t>
            </w:r>
          </w:p>
        </w:tc>
        <w:tc>
          <w:tcPr>
            <w:tcW w:type="dxa" w:w="1662"/>
          </w:tcPr>
          <w:p>
            <w:r>
              <w:t>None</w:t>
            </w:r>
          </w:p>
        </w:tc>
      </w:tr>
      <w:tr>
        <w:tc>
          <w:tcPr>
            <w:tcW w:type="dxa" w:w="1662"/>
          </w:tcPr>
          <w:p>
            <w:r>
              <w:t>Conversational Voice Bot</w:t>
            </w:r>
          </w:p>
        </w:tc>
        <w:tc>
          <w:tcPr>
            <w:tcW w:type="dxa" w:w="1662"/>
          </w:tcPr>
          <w:p>
            <w:r>
              <w:rPr>
                <w:b/>
              </w:rPr>
              <w:t>Yes (Uday - Gemini API)</w:t>
            </w:r>
          </w:p>
        </w:tc>
        <w:tc>
          <w:tcPr>
            <w:tcW w:type="dxa" w:w="1662"/>
          </w:tcPr>
          <w:p>
            <w:r>
              <w:t>None</w:t>
            </w:r>
          </w:p>
        </w:tc>
        <w:tc>
          <w:tcPr>
            <w:tcW w:type="dxa" w:w="1662"/>
          </w:tcPr>
          <w:p>
            <w:r>
              <w:t>Text-Only Paid</w:t>
            </w:r>
          </w:p>
        </w:tc>
        <w:tc>
          <w:tcPr>
            <w:tcW w:type="dxa" w:w="1662"/>
          </w:tcPr>
          <w:p>
            <w:r>
              <w:t>None</w:t>
            </w:r>
          </w:p>
        </w:tc>
      </w:tr>
      <w:tr>
        <w:tc>
          <w:tcPr>
            <w:tcW w:type="dxa" w:w="1662"/>
          </w:tcPr>
          <w:p>
            <w:r>
              <w:t>Interactive Roadmaps</w:t>
            </w:r>
          </w:p>
        </w:tc>
        <w:tc>
          <w:tcPr>
            <w:tcW w:type="dxa" w:w="1662"/>
          </w:tcPr>
          <w:p>
            <w:r>
              <w:rPr>
                <w:b/>
              </w:rPr>
              <w:t>Yes (Interactive Timelines)</w:t>
            </w:r>
          </w:p>
        </w:tc>
        <w:tc>
          <w:tcPr>
            <w:tcW w:type="dxa" w:w="1662"/>
          </w:tcPr>
          <w:p>
            <w:r>
              <w:t>Raw PDF Notices</w:t>
            </w:r>
          </w:p>
        </w:tc>
        <w:tc>
          <w:tcPr>
            <w:tcW w:type="dxa" w:w="1662"/>
          </w:tcPr>
          <w:p>
            <w:r>
              <w:t>Paywalled</w:t>
            </w:r>
          </w:p>
        </w:tc>
        <w:tc>
          <w:tcPr>
            <w:tcW w:type="dxa" w:w="1662"/>
          </w:tcPr>
          <w:p>
            <w:r>
              <w:t>Static Text</w:t>
            </w:r>
          </w:p>
        </w:tc>
      </w:tr>
      <w:tr>
        <w:tc>
          <w:tcPr>
            <w:tcW w:type="dxa" w:w="1662"/>
          </w:tcPr>
          <w:p>
            <w:r>
              <w:t>Dual-State Eligibility Matcher</w:t>
            </w:r>
          </w:p>
        </w:tc>
        <w:tc>
          <w:tcPr>
            <w:tcW w:type="dxa" w:w="1662"/>
          </w:tcPr>
          <w:p>
            <w:r>
              <w:rPr>
                <w:b/>
              </w:rPr>
              <w:t>Yes (30-Sec Client Rule)</w:t>
            </w:r>
          </w:p>
        </w:tc>
        <w:tc>
          <w:tcPr>
            <w:tcW w:type="dxa" w:w="1662"/>
          </w:tcPr>
          <w:p>
            <w:r>
              <w:t>Separate State Logins</w:t>
            </w:r>
          </w:p>
        </w:tc>
        <w:tc>
          <w:tcPr>
            <w:tcW w:type="dxa" w:w="1662"/>
          </w:tcPr>
          <w:p>
            <w:r>
              <w:t>None</w:t>
            </w:r>
          </w:p>
        </w:tc>
        <w:tc>
          <w:tcPr>
            <w:tcW w:type="dxa" w:w="1662"/>
          </w:tcPr>
          <w:p>
            <w:r>
              <w:t>Manual Reading</w:t>
            </w:r>
          </w:p>
        </w:tc>
      </w:tr>
      <w:tr>
        <w:tc>
          <w:tcPr>
            <w:tcW w:type="dxa" w:w="1662"/>
          </w:tcPr>
          <w:p>
            <w:r>
              <w:t>Offline PWA Caching</w:t>
            </w:r>
          </w:p>
        </w:tc>
        <w:tc>
          <w:tcPr>
            <w:tcW w:type="dxa" w:w="1662"/>
          </w:tcPr>
          <w:p>
            <w:r>
              <w:rPr>
                <w:b/>
              </w:rPr>
              <w:t>Yes (Service Worker v6)</w:t>
            </w:r>
          </w:p>
        </w:tc>
        <w:tc>
          <w:tcPr>
            <w:tcW w:type="dxa" w:w="1662"/>
          </w:tcPr>
          <w:p>
            <w:r>
              <w:t>None (Fails Offline)</w:t>
            </w:r>
          </w:p>
        </w:tc>
        <w:tc>
          <w:tcPr>
            <w:tcW w:type="dxa" w:w="1662"/>
          </w:tcPr>
          <w:p>
            <w:r>
              <w:t>Requires App Login</w:t>
            </w:r>
          </w:p>
        </w:tc>
        <w:tc>
          <w:tcPr>
            <w:tcW w:type="dxa" w:w="1662"/>
          </w:tcPr>
          <w:p>
            <w:r>
              <w:t>Yes (Offline File)</w:t>
            </w:r>
          </w:p>
        </w:tc>
      </w:tr>
      <w:tr>
        <w:tc>
          <w:tcPr>
            <w:tcW w:type="dxa" w:w="1662"/>
          </w:tcPr>
          <w:p>
            <w:r>
              <w:t>Digital Literacy &amp; Scam Buster</w:t>
            </w:r>
          </w:p>
        </w:tc>
        <w:tc>
          <w:tcPr>
            <w:tcW w:type="dxa" w:w="1662"/>
          </w:tcPr>
          <w:p>
            <w:r>
              <w:rPr>
                <w:b/>
              </w:rPr>
              <w:t>Yes (Quiz + 1930 Guide)</w:t>
            </w:r>
          </w:p>
        </w:tc>
        <w:tc>
          <w:tcPr>
            <w:tcW w:type="dxa" w:w="1662"/>
          </w:tcPr>
          <w:p>
            <w:r>
              <w:t>None</w:t>
            </w:r>
          </w:p>
        </w:tc>
        <w:tc>
          <w:tcPr>
            <w:tcW w:type="dxa" w:w="1662"/>
          </w:tcPr>
          <w:p>
            <w:r>
              <w:t>None</w:t>
            </w:r>
          </w:p>
        </w:tc>
        <w:tc>
          <w:tcPr>
            <w:tcW w:type="dxa" w:w="1662"/>
          </w:tcPr>
          <w:p>
            <w:r>
              <w:t>None</w:t>
            </w:r>
          </w:p>
        </w:tc>
      </w:tr>
      <w:tr>
        <w:tc>
          <w:tcPr>
            <w:tcW w:type="dxa" w:w="1662"/>
          </w:tcPr>
          <w:p>
            <w:r>
              <w:t>Zero-Login Privacy Policy</w:t>
            </w:r>
          </w:p>
        </w:tc>
        <w:tc>
          <w:tcPr>
            <w:tcW w:type="dxa" w:w="1662"/>
          </w:tcPr>
          <w:p>
            <w:r>
              <w:rPr>
                <w:b/>
              </w:rPr>
              <w:t>Yes (Zero Data Stored)</w:t>
            </w:r>
          </w:p>
        </w:tc>
        <w:tc>
          <w:tcPr>
            <w:tcW w:type="dxa" w:w="1662"/>
          </w:tcPr>
          <w:p>
            <w:r>
              <w:t>Mandatory Registration</w:t>
            </w:r>
          </w:p>
        </w:tc>
        <w:tc>
          <w:tcPr>
            <w:tcW w:type="dxa" w:w="1662"/>
          </w:tcPr>
          <w:p>
            <w:r>
              <w:t>Mandatory Phone OTP</w:t>
            </w:r>
          </w:p>
        </w:tc>
        <w:tc>
          <w:tcPr>
            <w:tcW w:type="dxa" w:w="1662"/>
          </w:tcPr>
          <w:p>
            <w:r>
              <w:t>No Login</w:t>
            </w:r>
          </w:p>
        </w:tc>
      </w:tr>
    </w:tbl>
    <w:p>
      <w:r>
        <w:br w:type="page"/>
      </w:r>
    </w:p>
    <w:p>
      <w:pPr>
        <w:spacing w:before="360" w:after="240" w:line="276" w:lineRule="auto"/>
        <w:jc w:val="center"/>
      </w:pPr>
      <w:r>
        <w:rPr>
          <w:rFonts w:ascii="Times New Roman" w:hAnsi="Times New Roman"/>
          <w:b/>
          <w:color w:val="000000"/>
          <w:sz w:val="32"/>
        </w:rPr>
        <w:t>CHAPTER 3: DATA GATHERING / DATA USED</w:t>
      </w:r>
    </w:p>
    <w:p>
      <w:pPr>
        <w:spacing w:before="240" w:after="120" w:line="276" w:lineRule="auto"/>
        <w:jc w:val="left"/>
      </w:pPr>
      <w:r>
        <w:rPr>
          <w:rFonts w:ascii="Times New Roman" w:hAnsi="Times New Roman"/>
          <w:b/>
          <w:color w:val="000000"/>
          <w:sz w:val="28"/>
        </w:rPr>
        <w:t>3.1 Primary Rural Student Needs Assessment</w:t>
      </w:r>
    </w:p>
    <w:p>
      <w:pPr>
        <w:spacing w:line="240" w:lineRule="auto" w:after="120" w:before="0"/>
        <w:jc w:val="both"/>
      </w:pPr>
      <w:r>
        <w:rPr>
          <w:rFonts w:ascii="Times New Roman" w:hAnsi="Times New Roman"/>
          <w:color w:val="000000"/>
          <w:sz w:val="24"/>
        </w:rPr>
        <w:t>To establish a solid empirical foundation, primary field surveys and informal interviews were conducted across government high schools and junior colleges in the North Coastal Andhra Pradesh region (specifically Vizianagaram district). The survey assessed 120 students across Classes 9, 10, and Intermediate (+1, +2). Key findings revealed that 78% of students had never heard of tools like ChatGPT or Gemini for educational purposes; 88% were unaware of central government scholarships such as NMMS or PM-YASASVI; and 94% relied entirely on cyber cafés for online college application filings, paying ₹200–₹500 per admission session. These insights directly dictated the feature scope and vernacular interface of VidyaUday.</w:t>
      </w:r>
    </w:p>
    <w:p>
      <w:pPr>
        <w:spacing w:before="240" w:after="120" w:line="276" w:lineRule="auto"/>
        <w:jc w:val="left"/>
      </w:pPr>
      <w:r>
        <w:rPr>
          <w:rFonts w:ascii="Times New Roman" w:hAnsi="Times New Roman"/>
          <w:b/>
          <w:color w:val="000000"/>
          <w:sz w:val="28"/>
        </w:rPr>
        <w:t>3.2 Government Welfare Gazettes &amp; Direct Benefit Transfer Datasets</w:t>
      </w:r>
    </w:p>
    <w:p>
      <w:pPr>
        <w:spacing w:line="240" w:lineRule="auto" w:after="120" w:before="0"/>
        <w:jc w:val="both"/>
      </w:pPr>
      <w:r>
        <w:rPr>
          <w:rFonts w:ascii="Times New Roman" w:hAnsi="Times New Roman"/>
          <w:color w:val="000000"/>
          <w:sz w:val="24"/>
        </w:rPr>
        <w:t>To ensure 100% legal accuracy, scholarship data was meticulously extracted and normalized from official Government Orders (G.O.s), Welfare Department Gazettes, and official Direct Benefit Transfer (DBT) portals. Table 3.1 outlines the curated dataset schemas.</w:t>
      </w:r>
    </w:p>
    <w:p>
      <w:pPr>
        <w:spacing w:before="240" w:after="80"/>
        <w:jc w:val="center"/>
      </w:pPr>
      <w:r>
        <w:rPr>
          <w:rFonts w:ascii="Times New Roman" w:hAnsi="Times New Roman"/>
          <w:b/>
          <w:sz w:val="24"/>
        </w:rPr>
        <w:t xml:space="preserve">Table 3.1: </w:t>
      </w:r>
      <w:r>
        <w:rPr>
          <w:rFonts w:ascii="Times New Roman" w:hAnsi="Times New Roman"/>
          <w:b/>
          <w:sz w:val="24"/>
        </w:rPr>
        <w:t>Official Government Welfare Gazettes &amp; Direct Benefit Transfer Curated Schemes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077"/>
        <w:gridCol w:w="2077"/>
        <w:gridCol w:w="2077"/>
        <w:gridCol w:w="2077"/>
      </w:tblGrid>
      <w:tr>
        <w:tc>
          <w:tcPr>
            <w:tcW w:type="dxa" w:w="2592"/>
            <w:shd w:fill="EAEFF5"/>
            <w:tcMar>
              <w:top w:w="120" w:type="dxa"/>
              <w:bottom w:w="120" w:type="dxa"/>
              <w:left w:w="140" w:type="dxa"/>
              <w:right w:w="140" w:type="dxa"/>
            </w:tcMar>
          </w:tcPr>
          <w:p>
            <w:pPr>
              <w:spacing w:line="276" w:lineRule="auto" w:after="0" w:before="0"/>
              <w:jc w:val="center"/>
            </w:pPr>
            <w:r>
              <w:t>Scholarship Scheme</w:t>
            </w:r>
          </w:p>
        </w:tc>
        <w:tc>
          <w:tcPr>
            <w:tcW w:type="dxa" w:w="1728"/>
            <w:shd w:fill="EAEFF5"/>
            <w:tcMar>
              <w:top w:w="120" w:type="dxa"/>
              <w:bottom w:w="120" w:type="dxa"/>
              <w:left w:w="140" w:type="dxa"/>
              <w:right w:w="140" w:type="dxa"/>
            </w:tcMar>
          </w:tcPr>
          <w:p>
            <w:pPr>
              <w:spacing w:line="276" w:lineRule="auto" w:after="0" w:before="0"/>
              <w:jc w:val="center"/>
            </w:pPr>
            <w:r>
              <w:t>Authority / Level</w:t>
            </w:r>
          </w:p>
        </w:tc>
        <w:tc>
          <w:tcPr>
            <w:tcW w:type="dxa" w:w="2592"/>
            <w:shd w:fill="EAEFF5"/>
            <w:tcMar>
              <w:top w:w="120" w:type="dxa"/>
              <w:bottom w:w="120" w:type="dxa"/>
              <w:left w:w="140" w:type="dxa"/>
              <w:right w:w="140" w:type="dxa"/>
            </w:tcMar>
          </w:tcPr>
          <w:p>
            <w:pPr>
              <w:spacing w:line="276" w:lineRule="auto" w:after="0" w:before="0"/>
              <w:jc w:val="center"/>
            </w:pPr>
            <w:r>
              <w:t>Verified Financial Benefit</w:t>
            </w:r>
          </w:p>
        </w:tc>
        <w:tc>
          <w:tcPr>
            <w:tcW w:type="dxa" w:w="2016"/>
            <w:shd w:fill="EAEFF5"/>
            <w:tcMar>
              <w:top w:w="120" w:type="dxa"/>
              <w:bottom w:w="120" w:type="dxa"/>
              <w:left w:w="140" w:type="dxa"/>
              <w:right w:w="140" w:type="dxa"/>
            </w:tcMar>
          </w:tcPr>
          <w:p>
            <w:pPr>
              <w:spacing w:line="276" w:lineRule="auto" w:after="0" w:before="0"/>
              <w:jc w:val="center"/>
            </w:pPr>
            <w:r>
              <w:t>Official Source Gazette</w:t>
            </w:r>
          </w:p>
        </w:tc>
      </w:tr>
      <w:tr>
        <w:tc>
          <w:tcPr>
            <w:tcW w:type="dxa" w:w="2077"/>
          </w:tcPr>
          <w:p>
            <w:r>
              <w:t>AP Jagananna Vidya Deevena</w:t>
            </w:r>
          </w:p>
        </w:tc>
        <w:tc>
          <w:tcPr>
            <w:tcW w:type="dxa" w:w="2077"/>
          </w:tcPr>
          <w:p>
            <w:r>
              <w:t>Andhra Pradesh State</w:t>
            </w:r>
          </w:p>
        </w:tc>
        <w:tc>
          <w:tcPr>
            <w:tcW w:type="dxa" w:w="2077"/>
          </w:tcPr>
          <w:p>
            <w:r>
              <w:t>100% Full Tuition Fee Reimbursement</w:t>
            </w:r>
          </w:p>
        </w:tc>
        <w:tc>
          <w:tcPr>
            <w:tcW w:type="dxa" w:w="2077"/>
          </w:tcPr>
          <w:p>
            <w:r>
              <w:t>Social Welfare G.O. Ms. No. 77</w:t>
            </w:r>
          </w:p>
        </w:tc>
      </w:tr>
      <w:tr>
        <w:tc>
          <w:tcPr>
            <w:tcW w:type="dxa" w:w="2077"/>
          </w:tcPr>
          <w:p>
            <w:r>
              <w:t>AP Jagananna Vasathi Deevena</w:t>
            </w:r>
          </w:p>
        </w:tc>
        <w:tc>
          <w:tcPr>
            <w:tcW w:type="dxa" w:w="2077"/>
          </w:tcPr>
          <w:p>
            <w:r>
              <w:t>Andhra Pradesh State</w:t>
            </w:r>
          </w:p>
        </w:tc>
        <w:tc>
          <w:tcPr>
            <w:tcW w:type="dxa" w:w="2077"/>
          </w:tcPr>
          <w:p>
            <w:r>
              <w:t>₹10,000–₹20,000/yr Hostel/Mess Grant</w:t>
            </w:r>
          </w:p>
        </w:tc>
        <w:tc>
          <w:tcPr>
            <w:tcW w:type="dxa" w:w="2077"/>
          </w:tcPr>
          <w:p>
            <w:r>
              <w:t>Social Welfare G.O. Ms. No. 115</w:t>
            </w:r>
          </w:p>
        </w:tc>
      </w:tr>
      <w:tr>
        <w:tc>
          <w:tcPr>
            <w:tcW w:type="dxa" w:w="2077"/>
          </w:tcPr>
          <w:p>
            <w:r>
              <w:t>Telangana ePASS Post-Matric</w:t>
            </w:r>
          </w:p>
        </w:tc>
        <w:tc>
          <w:tcPr>
            <w:tcW w:type="dxa" w:w="2077"/>
          </w:tcPr>
          <w:p>
            <w:r>
              <w:t>Telangana State</w:t>
            </w:r>
          </w:p>
        </w:tc>
        <w:tc>
          <w:tcPr>
            <w:tcW w:type="dxa" w:w="2077"/>
          </w:tcPr>
          <w:p>
            <w:r>
              <w:t>Full Tuition Waiver + Maintenance Allowance</w:t>
            </w:r>
          </w:p>
        </w:tc>
        <w:tc>
          <w:tcPr>
            <w:tcW w:type="dxa" w:w="2077"/>
          </w:tcPr>
          <w:p>
            <w:r>
              <w:t>TS Welfare Dept G.O. Ms. 66</w:t>
            </w:r>
          </w:p>
        </w:tc>
      </w:tr>
      <w:tr>
        <w:tc>
          <w:tcPr>
            <w:tcW w:type="dxa" w:w="2077"/>
          </w:tcPr>
          <w:p>
            <w:r>
              <w:t>National Means-cum-Merit (NMMS)</w:t>
            </w:r>
          </w:p>
        </w:tc>
        <w:tc>
          <w:tcPr>
            <w:tcW w:type="dxa" w:w="2077"/>
          </w:tcPr>
          <w:p>
            <w:r>
              <w:t>Central Govt (MoE)</w:t>
            </w:r>
          </w:p>
        </w:tc>
        <w:tc>
          <w:tcPr>
            <w:tcW w:type="dxa" w:w="2077"/>
          </w:tcPr>
          <w:p>
            <w:r>
              <w:t>₹12,000/yr for Class 9 to 12 (₹48K Total)</w:t>
            </w:r>
          </w:p>
        </w:tc>
        <w:tc>
          <w:tcPr>
            <w:tcW w:type="dxa" w:w="2077"/>
          </w:tcPr>
          <w:p>
            <w:r>
              <w:t>Ministry of Education Gazette</w:t>
            </w:r>
          </w:p>
        </w:tc>
      </w:tr>
      <w:tr>
        <w:tc>
          <w:tcPr>
            <w:tcW w:type="dxa" w:w="2077"/>
          </w:tcPr>
          <w:p>
            <w:r>
              <w:t>PM YASASVI Scheme</w:t>
            </w:r>
          </w:p>
        </w:tc>
        <w:tc>
          <w:tcPr>
            <w:tcW w:type="dxa" w:w="2077"/>
          </w:tcPr>
          <w:p>
            <w:r>
              <w:t>Central (MoSJE)</w:t>
            </w:r>
          </w:p>
        </w:tc>
        <w:tc>
          <w:tcPr>
            <w:tcW w:type="dxa" w:w="2077"/>
          </w:tcPr>
          <w:p>
            <w:r>
              <w:t>Up to ₹75,000 (Class 9-10), ₹1,25,000 (Class 11-12)</w:t>
            </w:r>
          </w:p>
        </w:tc>
        <w:tc>
          <w:tcPr>
            <w:tcW w:type="dxa" w:w="2077"/>
          </w:tcPr>
          <w:p>
            <w:r>
              <w:t>National Scholarship Portal</w:t>
            </w:r>
          </w:p>
        </w:tc>
      </w:tr>
      <w:tr>
        <w:tc>
          <w:tcPr>
            <w:tcW w:type="dxa" w:w="2077"/>
          </w:tcPr>
          <w:p>
            <w:r>
              <w:t>AICTE Pragati for Girls</w:t>
            </w:r>
          </w:p>
        </w:tc>
        <w:tc>
          <w:tcPr>
            <w:tcW w:type="dxa" w:w="2077"/>
          </w:tcPr>
          <w:p>
            <w:r>
              <w:t>Central (AICTE)</w:t>
            </w:r>
          </w:p>
        </w:tc>
        <w:tc>
          <w:tcPr>
            <w:tcW w:type="dxa" w:w="2077"/>
          </w:tcPr>
          <w:p>
            <w:r>
              <w:t>₹50,000/year for B.Tech &amp; Polytechnic</w:t>
            </w:r>
          </w:p>
        </w:tc>
        <w:tc>
          <w:tcPr>
            <w:tcW w:type="dxa" w:w="2077"/>
          </w:tcPr>
          <w:p>
            <w:r>
              <w:t>AICTE Notification 2024-25</w:t>
            </w:r>
          </w:p>
        </w:tc>
      </w:tr>
      <w:tr>
        <w:tc>
          <w:tcPr>
            <w:tcW w:type="dxa" w:w="2077"/>
          </w:tcPr>
          <w:p>
            <w:r>
              <w:t>Kotak Kanya Scholarship</w:t>
            </w:r>
          </w:p>
        </w:tc>
        <w:tc>
          <w:tcPr>
            <w:tcW w:type="dxa" w:w="2077"/>
          </w:tcPr>
          <w:p>
            <w:r>
              <w:t>Corporate CSR</w:t>
            </w:r>
          </w:p>
        </w:tc>
        <w:tc>
          <w:tcPr>
            <w:tcW w:type="dxa" w:w="2077"/>
          </w:tcPr>
          <w:p>
            <w:r>
              <w:t>₹1,50,000/year for Professional Degrees</w:t>
            </w:r>
          </w:p>
        </w:tc>
        <w:tc>
          <w:tcPr>
            <w:tcW w:type="dxa" w:w="2077"/>
          </w:tcPr>
          <w:p>
            <w:r>
              <w:t>Kotak Education Foundation</w:t>
            </w:r>
          </w:p>
        </w:tc>
      </w:tr>
      <w:tr>
        <w:tc>
          <w:tcPr>
            <w:tcW w:type="dxa" w:w="2077"/>
          </w:tcPr>
          <w:p>
            <w:r>
              <w:t>Begum Hazrat Mahal</w:t>
            </w:r>
          </w:p>
        </w:tc>
        <w:tc>
          <w:tcPr>
            <w:tcW w:type="dxa" w:w="2077"/>
          </w:tcPr>
          <w:p>
            <w:r>
              <w:t>Central (MoMA)</w:t>
            </w:r>
          </w:p>
        </w:tc>
        <w:tc>
          <w:tcPr>
            <w:tcW w:type="dxa" w:w="2077"/>
          </w:tcPr>
          <w:p>
            <w:r>
              <w:t>₹5,000–₹6,000/year for Minority Girls</w:t>
            </w:r>
          </w:p>
        </w:tc>
        <w:tc>
          <w:tcPr>
            <w:tcW w:type="dxa" w:w="2077"/>
          </w:tcPr>
          <w:p>
            <w:r>
              <w:t>Ministry of Minority Affairs</w:t>
            </w:r>
          </w:p>
        </w:tc>
      </w:tr>
    </w:tbl>
    <w:p>
      <w:pPr>
        <w:spacing w:before="240" w:after="120" w:line="276" w:lineRule="auto"/>
        <w:jc w:val="left"/>
      </w:pPr>
      <w:r>
        <w:rPr>
          <w:rFonts w:ascii="Times New Roman" w:hAnsi="Times New Roman"/>
          <w:b/>
          <w:color w:val="000000"/>
          <w:sz w:val="28"/>
        </w:rPr>
        <w:t>3.3 SCERT State Board Curriculum &amp; Digitized Books</w:t>
      </w:r>
    </w:p>
    <w:p>
      <w:pPr>
        <w:spacing w:line="240" w:lineRule="auto" w:after="120" w:before="0"/>
        <w:jc w:val="both"/>
      </w:pPr>
      <w:r>
        <w:rPr>
          <w:rFonts w:ascii="Times New Roman" w:hAnsi="Times New Roman"/>
          <w:color w:val="000000"/>
          <w:sz w:val="24"/>
        </w:rPr>
        <w:t>Educational textbook data was sourced directly from the State Council of Educational Research and Training (SCERT) Andhra Pradesh and Telangana digital repositories, alongside National Council of Educational Research and Training (NCERT) catalogues. Direct hyperlinks to authorized government PDF textbooks covering Mathematics, Physical Science, Biological Science, Social Studies, Telugu, and English were indexed. This eliminates pirated book downloads and ensures students access approved curriculum editions.</w:t>
      </w:r>
    </w:p>
    <w:p>
      <w:pPr>
        <w:spacing w:before="240" w:after="120" w:line="276" w:lineRule="auto"/>
        <w:jc w:val="left"/>
      </w:pPr>
      <w:r>
        <w:rPr>
          <w:rFonts w:ascii="Times New Roman" w:hAnsi="Times New Roman"/>
          <w:b/>
          <w:color w:val="000000"/>
          <w:sz w:val="28"/>
        </w:rPr>
        <w:t>3.4 Career Stream Taxonomy &amp; Industry Compensation Datasets</w:t>
      </w:r>
    </w:p>
    <w:p>
      <w:pPr>
        <w:spacing w:line="240" w:lineRule="auto" w:after="120" w:before="0"/>
        <w:jc w:val="both"/>
      </w:pPr>
      <w:r>
        <w:rPr>
          <w:rFonts w:ascii="Times New Roman" w:hAnsi="Times New Roman"/>
          <w:color w:val="000000"/>
          <w:sz w:val="24"/>
        </w:rPr>
        <w:t>To provide authentic career clarity, career pathway milestones were compiled by correlating Board of Intermediate Education Andhra Pradesh (BIEAP) stream choices with State Board of Technical Education and Training (SBTET) polytechnic frameworks and real-world employment data. Table 3.2 illustrates the multi-stream taxonomy integrated into VidyaUday.</w:t>
      </w:r>
    </w:p>
    <w:p>
      <w:pPr>
        <w:spacing w:before="240" w:after="80"/>
        <w:jc w:val="center"/>
      </w:pPr>
      <w:r>
        <w:rPr>
          <w:rFonts w:ascii="Times New Roman" w:hAnsi="Times New Roman"/>
          <w:b/>
          <w:sz w:val="24"/>
        </w:rPr>
        <w:t xml:space="preserve">Table 3.2: </w:t>
      </w:r>
      <w:r>
        <w:rPr>
          <w:rFonts w:ascii="Times New Roman" w:hAnsi="Times New Roman"/>
          <w:b/>
          <w:sz w:val="24"/>
        </w:rPr>
        <w:t>Post-10th &amp; Intermediate Career Stream Classification &amp; Salary Projections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077"/>
        <w:gridCol w:w="2077"/>
        <w:gridCol w:w="2077"/>
        <w:gridCol w:w="2077"/>
      </w:tblGrid>
      <w:tr>
        <w:tc>
          <w:tcPr>
            <w:tcW w:type="dxa" w:w="1728"/>
            <w:shd w:fill="EAEFF5"/>
            <w:tcMar>
              <w:top w:w="120" w:type="dxa"/>
              <w:bottom w:w="120" w:type="dxa"/>
              <w:left w:w="140" w:type="dxa"/>
              <w:right w:w="140" w:type="dxa"/>
            </w:tcMar>
          </w:tcPr>
          <w:p>
            <w:pPr>
              <w:spacing w:line="276" w:lineRule="auto" w:after="0" w:before="0"/>
              <w:jc w:val="center"/>
            </w:pPr>
            <w:r>
              <w:t>Stream</w:t>
            </w:r>
          </w:p>
        </w:tc>
        <w:tc>
          <w:tcPr>
            <w:tcW w:type="dxa" w:w="2592"/>
            <w:shd w:fill="EAEFF5"/>
            <w:tcMar>
              <w:top w:w="120" w:type="dxa"/>
              <w:bottom w:w="120" w:type="dxa"/>
              <w:left w:w="140" w:type="dxa"/>
              <w:right w:w="140" w:type="dxa"/>
            </w:tcMar>
          </w:tcPr>
          <w:p>
            <w:pPr>
              <w:spacing w:line="276" w:lineRule="auto" w:after="0" w:before="0"/>
              <w:jc w:val="center"/>
            </w:pPr>
            <w:r>
              <w:t>Core Subject Focus</w:t>
            </w:r>
          </w:p>
        </w:tc>
        <w:tc>
          <w:tcPr>
            <w:tcW w:type="dxa" w:w="2592"/>
            <w:shd w:fill="EAEFF5"/>
            <w:tcMar>
              <w:top w:w="120" w:type="dxa"/>
              <w:bottom w:w="120" w:type="dxa"/>
              <w:left w:w="140" w:type="dxa"/>
              <w:right w:w="140" w:type="dxa"/>
            </w:tcMar>
          </w:tcPr>
          <w:p>
            <w:pPr>
              <w:spacing w:line="276" w:lineRule="auto" w:after="0" w:before="0"/>
              <w:jc w:val="center"/>
            </w:pPr>
            <w:r>
              <w:t>Degree / Professional Outcomes</w:t>
            </w:r>
          </w:p>
        </w:tc>
        <w:tc>
          <w:tcPr>
            <w:tcW w:type="dxa" w:w="2016"/>
            <w:shd w:fill="EAEFF5"/>
            <w:tcMar>
              <w:top w:w="120" w:type="dxa"/>
              <w:bottom w:w="120" w:type="dxa"/>
              <w:left w:w="140" w:type="dxa"/>
              <w:right w:w="140" w:type="dxa"/>
            </w:tcMar>
          </w:tcPr>
          <w:p>
            <w:pPr>
              <w:spacing w:line="276" w:lineRule="auto" w:after="0" w:before="0"/>
              <w:jc w:val="center"/>
            </w:pPr>
            <w:r>
              <w:t>Entry Salary Range</w:t>
            </w:r>
          </w:p>
        </w:tc>
      </w:tr>
      <w:tr>
        <w:tc>
          <w:tcPr>
            <w:tcW w:type="dxa" w:w="2077"/>
          </w:tcPr>
          <w:p>
            <w:r>
              <w:rPr>
                <w:b/>
              </w:rPr>
              <w:t>MPC</w:t>
            </w:r>
          </w:p>
        </w:tc>
        <w:tc>
          <w:tcPr>
            <w:tcW w:type="dxa" w:w="2077"/>
          </w:tcPr>
          <w:p>
            <w:r>
              <w:t>Maths, Physics, Chemistry</w:t>
            </w:r>
          </w:p>
        </w:tc>
        <w:tc>
          <w:tcPr>
            <w:tcW w:type="dxa" w:w="2077"/>
          </w:tcPr>
          <w:p>
            <w:r>
              <w:t>B.Tech, B.Arch, Indian Navy, NDA, Data Science</w:t>
            </w:r>
          </w:p>
        </w:tc>
        <w:tc>
          <w:tcPr>
            <w:tcW w:type="dxa" w:w="2077"/>
          </w:tcPr>
          <w:p>
            <w:r>
              <w:t>₹4.5L – ₹12.0L / year</w:t>
            </w:r>
          </w:p>
        </w:tc>
      </w:tr>
      <w:tr>
        <w:tc>
          <w:tcPr>
            <w:tcW w:type="dxa" w:w="2077"/>
          </w:tcPr>
          <w:p>
            <w:r>
              <w:rPr>
                <w:b/>
              </w:rPr>
              <w:t>BiPC</w:t>
            </w:r>
          </w:p>
        </w:tc>
        <w:tc>
          <w:tcPr>
            <w:tcW w:type="dxa" w:w="2077"/>
          </w:tcPr>
          <w:p>
            <w:r>
              <w:t>Biology, Physics, Chemistry</w:t>
            </w:r>
          </w:p>
        </w:tc>
        <w:tc>
          <w:tcPr>
            <w:tcW w:type="dxa" w:w="2077"/>
          </w:tcPr>
          <w:p>
            <w:r>
              <w:t>MBBS, BDS, B.Pharm, Agri B.Sc, Biotechnology</w:t>
            </w:r>
          </w:p>
        </w:tc>
        <w:tc>
          <w:tcPr>
            <w:tcW w:type="dxa" w:w="2077"/>
          </w:tcPr>
          <w:p>
            <w:r>
              <w:t>₹3.6L – ₹10.0L / year</w:t>
            </w:r>
          </w:p>
        </w:tc>
      </w:tr>
      <w:tr>
        <w:tc>
          <w:tcPr>
            <w:tcW w:type="dxa" w:w="2077"/>
          </w:tcPr>
          <w:p>
            <w:r>
              <w:rPr>
                <w:b/>
              </w:rPr>
              <w:t>CEC</w:t>
            </w:r>
          </w:p>
        </w:tc>
        <w:tc>
          <w:tcPr>
            <w:tcW w:type="dxa" w:w="2077"/>
          </w:tcPr>
          <w:p>
            <w:r>
              <w:t>Civics, Economics, Commerce</w:t>
            </w:r>
          </w:p>
        </w:tc>
        <w:tc>
          <w:tcPr>
            <w:tcW w:type="dxa" w:w="2077"/>
          </w:tcPr>
          <w:p>
            <w:r>
              <w:t>B.Com, CA, CMA, CS, Banking, Corporate Law</w:t>
            </w:r>
          </w:p>
        </w:tc>
        <w:tc>
          <w:tcPr>
            <w:tcW w:type="dxa" w:w="2077"/>
          </w:tcPr>
          <w:p>
            <w:r>
              <w:t>₹3.0L – ₹8.0L / year</w:t>
            </w:r>
          </w:p>
        </w:tc>
      </w:tr>
      <w:tr>
        <w:tc>
          <w:tcPr>
            <w:tcW w:type="dxa" w:w="2077"/>
          </w:tcPr>
          <w:p>
            <w:r>
              <w:rPr>
                <w:b/>
              </w:rPr>
              <w:t>MEC</w:t>
            </w:r>
          </w:p>
        </w:tc>
        <w:tc>
          <w:tcPr>
            <w:tcW w:type="dxa" w:w="2077"/>
          </w:tcPr>
          <w:p>
            <w:r>
              <w:t>Maths, Economics, Commerce</w:t>
            </w:r>
          </w:p>
        </w:tc>
        <w:tc>
          <w:tcPr>
            <w:tcW w:type="dxa" w:w="2077"/>
          </w:tcPr>
          <w:p>
            <w:r>
              <w:t>B.Com Analytics, Actuarial Science, FinTech</w:t>
            </w:r>
          </w:p>
        </w:tc>
        <w:tc>
          <w:tcPr>
            <w:tcW w:type="dxa" w:w="2077"/>
          </w:tcPr>
          <w:p>
            <w:r>
              <w:t>₹3.5L – ₹9.0L / year</w:t>
            </w:r>
          </w:p>
        </w:tc>
      </w:tr>
      <w:tr>
        <w:tc>
          <w:tcPr>
            <w:tcW w:type="dxa" w:w="2077"/>
          </w:tcPr>
          <w:p>
            <w:r>
              <w:rPr>
                <w:b/>
              </w:rPr>
              <w:t>Polytechnic</w:t>
            </w:r>
          </w:p>
        </w:tc>
        <w:tc>
          <w:tcPr>
            <w:tcW w:type="dxa" w:w="2077"/>
          </w:tcPr>
          <w:p>
            <w:r>
              <w:t>Applied Engineering Diploma</w:t>
            </w:r>
          </w:p>
        </w:tc>
        <w:tc>
          <w:tcPr>
            <w:tcW w:type="dxa" w:w="2077"/>
          </w:tcPr>
          <w:p>
            <w:r>
              <w:t>Junior Engineer, Lateral Entry to B.Tech 2nd Year</w:t>
            </w:r>
          </w:p>
        </w:tc>
        <w:tc>
          <w:tcPr>
            <w:tcW w:type="dxa" w:w="2077"/>
          </w:tcPr>
          <w:p>
            <w:r>
              <w:t>₹2.4L – ₹4.8L / year</w:t>
            </w:r>
          </w:p>
        </w:tc>
      </w:tr>
      <w:tr>
        <w:tc>
          <w:tcPr>
            <w:tcW w:type="dxa" w:w="2077"/>
          </w:tcPr>
          <w:p>
            <w:r>
              <w:rPr>
                <w:b/>
              </w:rPr>
              <w:t>ITI</w:t>
            </w:r>
          </w:p>
        </w:tc>
        <w:tc>
          <w:tcPr>
            <w:tcW w:type="dxa" w:w="2077"/>
          </w:tcPr>
          <w:p>
            <w:r>
              <w:t>Industrial Technical Trades</w:t>
            </w:r>
          </w:p>
        </w:tc>
        <w:tc>
          <w:tcPr>
            <w:tcW w:type="dxa" w:w="2077"/>
          </w:tcPr>
          <w:p>
            <w:r>
              <w:t>Railway Technician, Apprentice, Industry Technician</w:t>
            </w:r>
          </w:p>
        </w:tc>
        <w:tc>
          <w:tcPr>
            <w:tcW w:type="dxa" w:w="2077"/>
          </w:tcPr>
          <w:p>
            <w:r>
              <w:t>₹1.8L – ₹3.6L / year</w:t>
            </w:r>
          </w:p>
        </w:tc>
      </w:tr>
    </w:tbl>
    <w:p>
      <w:pPr>
        <w:spacing w:before="240" w:after="120" w:line="276" w:lineRule="auto"/>
        <w:jc w:val="left"/>
      </w:pPr>
      <w:r>
        <w:rPr>
          <w:rFonts w:ascii="Times New Roman" w:hAnsi="Times New Roman"/>
          <w:b/>
          <w:color w:val="000000"/>
          <w:sz w:val="28"/>
        </w:rPr>
        <w:t>3.5 Student AI Prompt Corpus &amp; Vernacular Query Repository</w:t>
      </w:r>
    </w:p>
    <w:p>
      <w:pPr>
        <w:spacing w:line="240" w:lineRule="auto" w:after="120" w:before="0"/>
        <w:jc w:val="both"/>
      </w:pPr>
      <w:r>
        <w:rPr>
          <w:rFonts w:ascii="Times New Roman" w:hAnsi="Times New Roman"/>
          <w:color w:val="000000"/>
          <w:sz w:val="24"/>
        </w:rPr>
        <w:t>Rural students frequently struggle with generative AI because they do not understand how to formulate structured English prompts. To solve this, a specialized corpus of 40+ educational prompt templates was constructed. These prompts are categorized into homework concept explanation, mathematical step-by-step solutions, English grammar correction, essay drafting, and English-to-Telugu concept translations. By clicking a single button, students copy pre-engineered prompts directly into ChatGPT or Google Gemini.</w:t>
      </w:r>
    </w:p>
    <w:p>
      <w:pPr>
        <w:spacing w:before="240" w:after="120" w:line="276" w:lineRule="auto"/>
        <w:jc w:val="left"/>
      </w:pPr>
      <w:r>
        <w:rPr>
          <w:rFonts w:ascii="Times New Roman" w:hAnsi="Times New Roman"/>
          <w:b/>
          <w:color w:val="000000"/>
          <w:sz w:val="28"/>
        </w:rPr>
        <w:t>3.6 Cyber Fraud Scenarios &amp; Student Security Knowledge Base</w:t>
      </w:r>
    </w:p>
    <w:p>
      <w:pPr>
        <w:spacing w:line="240" w:lineRule="auto" w:after="120" w:before="0"/>
        <w:jc w:val="both"/>
      </w:pPr>
      <w:r>
        <w:rPr>
          <w:rFonts w:ascii="Times New Roman" w:hAnsi="Times New Roman"/>
          <w:color w:val="000000"/>
          <w:sz w:val="24"/>
        </w:rPr>
        <w:t>Data on widespread rural cyber fraud was compiled from case advisories published by the Indian Cyber Crime Coordination Centre (I4C). Common vectors targeting rural students include fraudulent WhatsApp scholarship application links demanding ₹50 'processing charges', fake recruitment SMS notifications promising railway jobs, and fake OTP requests for government grant verification. These real-world scenarios formed the knowledge base for VidyaUday's 3-stage Cyber Scam Buster and 30-Second Readiness Quiz.</w:t>
      </w:r>
    </w:p>
    <w:p>
      <w:r>
        <w:br w:type="page"/>
      </w:r>
    </w:p>
    <w:p>
      <w:pPr>
        <w:spacing w:before="360" w:after="240" w:line="276" w:lineRule="auto"/>
        <w:jc w:val="center"/>
      </w:pPr>
      <w:r>
        <w:rPr>
          <w:rFonts w:ascii="Times New Roman" w:hAnsi="Times New Roman"/>
          <w:b/>
          <w:color w:val="000000"/>
          <w:sz w:val="32"/>
        </w:rPr>
        <w:t>CHAPTER 4: METHODOLOGY / SYSTEM DESIGN</w:t>
      </w:r>
    </w:p>
    <w:p>
      <w:pPr>
        <w:spacing w:before="240" w:after="120" w:line="276" w:lineRule="auto"/>
        <w:jc w:val="left"/>
      </w:pPr>
      <w:r>
        <w:rPr>
          <w:rFonts w:ascii="Times New Roman" w:hAnsi="Times New Roman"/>
          <w:b/>
          <w:color w:val="000000"/>
          <w:sz w:val="28"/>
        </w:rPr>
        <w:t>4.1 Four-Layer System Architectural Paradigm</w:t>
      </w:r>
    </w:p>
    <w:p>
      <w:pPr>
        <w:spacing w:line="240" w:lineRule="auto" w:after="120" w:before="0"/>
        <w:jc w:val="both"/>
      </w:pPr>
      <w:r>
        <w:rPr>
          <w:rFonts w:ascii="Times New Roman" w:hAnsi="Times New Roman"/>
          <w:color w:val="000000"/>
          <w:sz w:val="24"/>
        </w:rPr>
        <w:t>VidyaUday is engineered upon a high-cohesion, low-coupling Four-Layer System Architecture designed specifically for zero-latency execution on mobile browsers. Figure 4.1 depicts the architectural model.</w:t>
      </w:r>
    </w:p>
    <w:p>
      <w:pPr>
        <w:spacing w:before="240" w:after="80"/>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slide_11.png"/>
                    <pic:cNvPicPr/>
                  </pic:nvPicPr>
                  <pic:blipFill>
                    <a:blip r:embed="rId11"/>
                    <a:stretch>
                      <a:fillRect/>
                    </a:stretch>
                  </pic:blipFill>
                  <pic:spPr>
                    <a:xfrm>
                      <a:off x="0" y="0"/>
                      <a:ext cx="5120640" cy="2880360"/>
                    </a:xfrm>
                    <a:prstGeom prst="rect"/>
                  </pic:spPr>
                </pic:pic>
              </a:graphicData>
            </a:graphic>
          </wp:inline>
        </w:drawing>
      </w:r>
    </w:p>
    <w:p>
      <w:pPr>
        <w:spacing w:before="40" w:after="280"/>
        <w:jc w:val="center"/>
      </w:pPr>
      <w:r>
        <w:rPr>
          <w:rFonts w:ascii="Times New Roman" w:hAnsi="Times New Roman"/>
          <w:b/>
          <w:sz w:val="24"/>
        </w:rPr>
        <w:t xml:space="preserve">Figure 4.1: </w:t>
      </w:r>
      <w:r>
        <w:rPr>
          <w:rFonts w:ascii="Times New Roman" w:hAnsi="Times New Roman"/>
          <w:b/>
          <w:sz w:val="24"/>
        </w:rPr>
        <w:t>VidyaUday Four-Layer System Architecture Block Diagram</w:t>
      </w:r>
    </w:p>
    <w:p>
      <w:pPr>
        <w:spacing w:line="240" w:lineRule="auto" w:after="120" w:before="0"/>
        <w:jc w:val="both"/>
      </w:pPr>
      <w:r>
        <w:rPr>
          <w:rFonts w:ascii="Times New Roman" w:hAnsi="Times New Roman"/>
          <w:color w:val="000000"/>
          <w:sz w:val="24"/>
        </w:rPr>
        <w:t>The architectural layers function as follows:</w:t>
      </w:r>
    </w:p>
    <w:p>
      <w:pPr>
        <w:pStyle w:val="ListBullet"/>
        <w:spacing w:line="240" w:lineRule="auto" w:after="80" w:before="0"/>
        <w:jc w:val="both"/>
      </w:pPr>
      <w:r>
        <w:rPr>
          <w:rFonts w:ascii="Times New Roman" w:hAnsi="Times New Roman"/>
          <w:b/>
          <w:color w:val="000000"/>
          <w:sz w:val="24"/>
        </w:rPr>
        <w:t>Layer 1 - Presentation &amp; UI Layer:</w:t>
      </w:r>
      <w:r>
        <w:rPr>
          <w:rFonts w:ascii="Times New Roman" w:hAnsi="Times New Roman"/>
          <w:color w:val="000000"/>
          <w:sz w:val="24"/>
        </w:rPr>
        <w:t xml:space="preserve"> Implemented using modern mobile-first semantic HTML5 and vanilla CSS3. Features responsive CSS grid and flexbox layouts, bilingual string interpolation, and speech recognition/synthesis bindings.</w:t>
      </w:r>
    </w:p>
    <w:p>
      <w:pPr>
        <w:pStyle w:val="ListBullet"/>
        <w:spacing w:line="240" w:lineRule="auto" w:after="80" w:before="0"/>
        <w:jc w:val="both"/>
      </w:pPr>
      <w:r>
        <w:rPr>
          <w:rFonts w:ascii="Times New Roman" w:hAnsi="Times New Roman"/>
          <w:b/>
          <w:color w:val="000000"/>
          <w:sz w:val="24"/>
        </w:rPr>
        <w:t>Layer 2 - Core Feature Modules:</w:t>
      </w:r>
      <w:r>
        <w:rPr>
          <w:rFonts w:ascii="Times New Roman" w:hAnsi="Times New Roman"/>
          <w:color w:val="000000"/>
          <w:sz w:val="24"/>
        </w:rPr>
        <w:t xml:space="preserve"> Contains the seven modular subsystems: AI Tools Directory, Conversational Study Bot, Career Roadmap Navigator, Scholarship Matcher, SCERT Digital Library, Coding Playground, and Cyber Scam Buster.</w:t>
      </w:r>
    </w:p>
    <w:p>
      <w:pPr>
        <w:pStyle w:val="ListBullet"/>
        <w:spacing w:line="240" w:lineRule="auto" w:after="80" w:before="0"/>
        <w:jc w:val="both"/>
      </w:pPr>
      <w:r>
        <w:rPr>
          <w:rFonts w:ascii="Times New Roman" w:hAnsi="Times New Roman"/>
          <w:b/>
          <w:color w:val="000000"/>
          <w:sz w:val="24"/>
        </w:rPr>
        <w:t>Layer 3 - AI &amp; Client Logic Engine:</w:t>
      </w:r>
      <w:r>
        <w:rPr>
          <w:rFonts w:ascii="Times New Roman" w:hAnsi="Times New Roman"/>
          <w:color w:val="000000"/>
          <w:sz w:val="24"/>
        </w:rPr>
        <w:t xml:space="preserve"> Executes all business logic client-side within the browser V8 engine. Houses the Google Gemini 1.5 Flash REST client, the Web Speech synthesis manager, and the local rule-evaluation engine.</w:t>
      </w:r>
    </w:p>
    <w:p>
      <w:pPr>
        <w:pStyle w:val="ListBullet"/>
        <w:spacing w:line="240" w:lineRule="auto" w:after="80" w:before="0"/>
        <w:jc w:val="both"/>
      </w:pPr>
      <w:r>
        <w:rPr>
          <w:rFonts w:ascii="Times New Roman" w:hAnsi="Times New Roman"/>
          <w:b/>
          <w:color w:val="000000"/>
          <w:sz w:val="24"/>
        </w:rPr>
        <w:t>Layer 4 - Data &amp; Verification Layer:</w:t>
      </w:r>
      <w:r>
        <w:rPr>
          <w:rFonts w:ascii="Times New Roman" w:hAnsi="Times New Roman"/>
          <w:color w:val="000000"/>
          <w:sz w:val="24"/>
        </w:rPr>
        <w:t xml:space="preserve"> Comprises structured, immutable JSON data arrays verified against government gazettes, syllabus indices, and curated prompt repositories stored locally inside the application runtime.</w:t>
      </w:r>
    </w:p>
    <w:p>
      <w:pPr>
        <w:spacing w:before="240" w:after="120" w:line="276" w:lineRule="auto"/>
        <w:jc w:val="left"/>
      </w:pPr>
      <w:r>
        <w:rPr>
          <w:rFonts w:ascii="Times New Roman" w:hAnsi="Times New Roman"/>
          <w:b/>
          <w:color w:val="000000"/>
          <w:sz w:val="28"/>
        </w:rPr>
        <w:t>4.2 User Journey &amp; Decision Tree Flowchart</w:t>
      </w:r>
    </w:p>
    <w:p>
      <w:pPr>
        <w:spacing w:line="240" w:lineRule="auto" w:after="120" w:before="0"/>
        <w:jc w:val="both"/>
      </w:pPr>
      <w:r>
        <w:rPr>
          <w:rFonts w:ascii="Times New Roman" w:hAnsi="Times New Roman"/>
          <w:color w:val="000000"/>
          <w:sz w:val="24"/>
        </w:rPr>
        <w:t>The user navigation flow guides an uncertain student through a frictionless five-step decision process, as illustrated in Figure 4.2.</w:t>
      </w:r>
    </w:p>
    <w:p>
      <w:pPr>
        <w:spacing w:before="240" w:after="80"/>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slide_10.png"/>
                    <pic:cNvPicPr/>
                  </pic:nvPicPr>
                  <pic:blipFill>
                    <a:blip r:embed="rId12"/>
                    <a:stretch>
                      <a:fillRect/>
                    </a:stretch>
                  </pic:blipFill>
                  <pic:spPr>
                    <a:xfrm>
                      <a:off x="0" y="0"/>
                      <a:ext cx="5120640" cy="2880360"/>
                    </a:xfrm>
                    <a:prstGeom prst="rect"/>
                  </pic:spPr>
                </pic:pic>
              </a:graphicData>
            </a:graphic>
          </wp:inline>
        </w:drawing>
      </w:r>
    </w:p>
    <w:p>
      <w:pPr>
        <w:spacing w:before="40" w:after="280"/>
        <w:jc w:val="center"/>
      </w:pPr>
      <w:r>
        <w:rPr>
          <w:rFonts w:ascii="Times New Roman" w:hAnsi="Times New Roman"/>
          <w:b/>
          <w:sz w:val="24"/>
        </w:rPr>
        <w:t xml:space="preserve">Figure 4.2: </w:t>
      </w:r>
      <w:r>
        <w:rPr>
          <w:rFonts w:ascii="Times New Roman" w:hAnsi="Times New Roman"/>
          <w:b/>
          <w:sz w:val="24"/>
        </w:rPr>
        <w:t>End-to-End User Guidance &amp; Decision Tree Flowchart</w:t>
      </w:r>
    </w:p>
    <w:p>
      <w:pPr>
        <w:spacing w:line="240" w:lineRule="auto" w:after="120" w:before="0"/>
        <w:jc w:val="both"/>
      </w:pPr>
      <w:r>
        <w:rPr>
          <w:rFonts w:ascii="Times New Roman" w:hAnsi="Times New Roman"/>
          <w:color w:val="000000"/>
          <w:sz w:val="24"/>
        </w:rPr>
        <w:t>Upon accessing the platform without any login requirements, the student selects their preferred language (English or Telugu). The student then selects a specific guidance module. When using the scholarship checker, an interactive 4-question profile form evaluates class, state, caste, and annual household income. The client-side decision tree evaluates this profile against the scheme database and renders matching schemes in under 50 milliseconds, providing verified government `.gov.in` application links.</w:t>
      </w:r>
    </w:p>
    <w:p>
      <w:pPr>
        <w:spacing w:before="240" w:after="120" w:line="276" w:lineRule="auto"/>
        <w:jc w:val="left"/>
      </w:pPr>
      <w:r>
        <w:rPr>
          <w:rFonts w:ascii="Times New Roman" w:hAnsi="Times New Roman"/>
          <w:b/>
          <w:color w:val="000000"/>
          <w:sz w:val="28"/>
        </w:rPr>
        <w:t>4.3 Client-Side Decision Rule Engine</w:t>
      </w:r>
    </w:p>
    <w:p>
      <w:pPr>
        <w:spacing w:line="240" w:lineRule="auto" w:after="120" w:before="0"/>
        <w:jc w:val="both"/>
      </w:pPr>
      <w:r>
        <w:rPr>
          <w:rFonts w:ascii="Times New Roman" w:hAnsi="Times New Roman"/>
          <w:color w:val="000000"/>
          <w:sz w:val="24"/>
        </w:rPr>
        <w:t>Unlike commercial EdTech platforms that require server round-trips and relational database queries, VidyaUday performs all eligibility filtering directly within the client browser. Each scholarship scheme $S_i$ is encapsulated with an eligibility rule object $R_i$: where $R_i = \{Classes, Castes, Gender, IncomeLimit, States\}$. When a student submits profile $P = \{c, k, g, y, s\}$, the engine evaluates boolean matching criteria across all records in real time. This guarantees zero server hosting costs and 100% student privacy.</w:t>
      </w:r>
    </w:p>
    <w:p>
      <w:pPr>
        <w:spacing w:before="240" w:after="120" w:line="276" w:lineRule="auto"/>
        <w:jc w:val="left"/>
      </w:pPr>
      <w:r>
        <w:rPr>
          <w:rFonts w:ascii="Times New Roman" w:hAnsi="Times New Roman"/>
          <w:b/>
          <w:color w:val="000000"/>
          <w:sz w:val="28"/>
        </w:rPr>
        <w:t>4.4 Service Worker PWA Offline Caching Strategy</w:t>
      </w:r>
    </w:p>
    <w:p>
      <w:pPr>
        <w:spacing w:line="240" w:lineRule="auto" w:after="120" w:before="0"/>
        <w:jc w:val="both"/>
      </w:pPr>
      <w:r>
        <w:rPr>
          <w:rFonts w:ascii="Times New Roman" w:hAnsi="Times New Roman"/>
          <w:color w:val="000000"/>
          <w:sz w:val="24"/>
        </w:rPr>
        <w:t>To deliver true offline resilience, VidyaUday implements a customized Service Worker v6 (`sw.js`). During the `install` lifecycle event, the service worker precaches all core platform assets: `index.html`, `manifest.json`, vector icons, and styling rules. During fetch requests, a Stale-While-Revalidate caching strategy intercepts requests. If network connectivity is lost, the service worker instantly serves the cached application shell. Client-side JavaScript detects offline events and triggers an offline toast notification: '⚡ Offline Mode: Roadmaps, Scholarships &amp; Quiz are active without internet!'.</w:t>
      </w:r>
    </w:p>
    <w:p>
      <w:pPr>
        <w:spacing w:before="240" w:after="120" w:line="276" w:lineRule="auto"/>
        <w:jc w:val="left"/>
      </w:pPr>
      <w:r>
        <w:rPr>
          <w:rFonts w:ascii="Times New Roman" w:hAnsi="Times New Roman"/>
          <w:b/>
          <w:color w:val="000000"/>
          <w:sz w:val="28"/>
        </w:rPr>
        <w:t>4.5 Vernacular Localization &amp; Web Speech Integration Workflow</w:t>
      </w:r>
    </w:p>
    <w:p>
      <w:pPr>
        <w:spacing w:line="240" w:lineRule="auto" w:after="120" w:before="0"/>
        <w:jc w:val="both"/>
      </w:pPr>
      <w:r>
        <w:rPr>
          <w:rFonts w:ascii="Times New Roman" w:hAnsi="Times New Roman"/>
          <w:color w:val="000000"/>
          <w:sz w:val="24"/>
        </w:rPr>
        <w:t>Bilingual localization is implemented via an in-memory dictionary mapping all text nodes and placeholders to Telugu equivalents. When the user toggles the language switcher, `applyStaticTranslations()` instantly updates all `[data-i18n]` DOM elements without reloading the page. For speech synthesis, the platform leverages the browser's native `window.speechSynthesis` API, querying for installed Telugu voices (`te-IN`) and falling back to Indian English (`en-IN`), enabling spoken answers for non-fluent readers.</w:t>
      </w:r>
    </w:p>
    <w:p>
      <w:r>
        <w:br w:type="page"/>
      </w:r>
    </w:p>
    <w:p>
      <w:pPr>
        <w:spacing w:before="360" w:after="240" w:line="276" w:lineRule="auto"/>
        <w:jc w:val="center"/>
      </w:pPr>
      <w:r>
        <w:rPr>
          <w:rFonts w:ascii="Times New Roman" w:hAnsi="Times New Roman"/>
          <w:b/>
          <w:color w:val="000000"/>
          <w:sz w:val="32"/>
        </w:rPr>
        <w:t>CHAPTER 5: IMPLEMENTATION / MODULES</w:t>
      </w:r>
    </w:p>
    <w:p>
      <w:pPr>
        <w:spacing w:before="240" w:after="120" w:line="276" w:lineRule="auto"/>
        <w:jc w:val="left"/>
      </w:pPr>
      <w:r>
        <w:rPr>
          <w:rFonts w:ascii="Times New Roman" w:hAnsi="Times New Roman"/>
          <w:b/>
          <w:color w:val="000000"/>
          <w:sz w:val="28"/>
        </w:rPr>
        <w:t>5.1 Module 1: Curated AI Tools Directory &amp; 1-Click Prompt Engine</w:t>
      </w:r>
    </w:p>
    <w:p>
      <w:pPr>
        <w:spacing w:line="240" w:lineRule="auto" w:after="120" w:before="0"/>
        <w:jc w:val="both"/>
      </w:pPr>
      <w:r>
        <w:rPr>
          <w:rFonts w:ascii="Times New Roman" w:hAnsi="Times New Roman"/>
          <w:color w:val="000000"/>
          <w:sz w:val="24"/>
        </w:rPr>
        <w:t>The AI Tools Hub curates 10+ premier free artificial intelligence platforms specifically vetted for secondary school learners. Rather than overwhelming students with complex prompt engineering jargon, VidyaUday introduces an interactive AI Goal Matcher and 1-click copyable student prompt cards. Table 5.1 details the curated AI tools roster.</w:t>
      </w:r>
    </w:p>
    <w:p>
      <w:pPr>
        <w:spacing w:before="240" w:after="80"/>
        <w:jc w:val="center"/>
      </w:pPr>
      <w:r>
        <w:rPr>
          <w:rFonts w:ascii="Times New Roman" w:hAnsi="Times New Roman"/>
          <w:b/>
          <w:sz w:val="24"/>
        </w:rPr>
        <w:t xml:space="preserve">Table 5.1: </w:t>
      </w:r>
      <w:r>
        <w:rPr>
          <w:rFonts w:ascii="Times New Roman" w:hAnsi="Times New Roman"/>
          <w:b/>
          <w:sz w:val="24"/>
        </w:rPr>
        <w:t>Curated Free AI Tools Roster, Educational Value &amp; Student Application Modes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077"/>
        <w:gridCol w:w="2077"/>
        <w:gridCol w:w="2077"/>
        <w:gridCol w:w="2077"/>
      </w:tblGrid>
      <w:tr>
        <w:tc>
          <w:tcPr>
            <w:tcW w:type="dxa" w:w="2016"/>
            <w:shd w:fill="EAEFF5"/>
            <w:tcMar>
              <w:top w:w="120" w:type="dxa"/>
              <w:bottom w:w="120" w:type="dxa"/>
              <w:left w:w="140" w:type="dxa"/>
              <w:right w:w="140" w:type="dxa"/>
            </w:tcMar>
          </w:tcPr>
          <w:p>
            <w:pPr>
              <w:spacing w:line="276" w:lineRule="auto" w:after="0" w:before="0"/>
              <w:jc w:val="center"/>
            </w:pPr>
            <w:r>
              <w:t>AI Tool Name</w:t>
            </w:r>
          </w:p>
        </w:tc>
        <w:tc>
          <w:tcPr>
            <w:tcW w:type="dxa" w:w="1728"/>
            <w:shd w:fill="EAEFF5"/>
            <w:tcMar>
              <w:top w:w="120" w:type="dxa"/>
              <w:bottom w:w="120" w:type="dxa"/>
              <w:left w:w="140" w:type="dxa"/>
              <w:right w:w="140" w:type="dxa"/>
            </w:tcMar>
          </w:tcPr>
          <w:p>
            <w:pPr>
              <w:spacing w:line="276" w:lineRule="auto" w:after="0" w:before="0"/>
              <w:jc w:val="center"/>
            </w:pPr>
            <w:r>
              <w:t>Category</w:t>
            </w:r>
          </w:p>
        </w:tc>
        <w:tc>
          <w:tcPr>
            <w:tcW w:type="dxa" w:w="2592"/>
            <w:shd w:fill="EAEFF5"/>
            <w:tcMar>
              <w:top w:w="120" w:type="dxa"/>
              <w:bottom w:w="120" w:type="dxa"/>
              <w:left w:w="140" w:type="dxa"/>
              <w:right w:w="140" w:type="dxa"/>
            </w:tcMar>
          </w:tcPr>
          <w:p>
            <w:pPr>
              <w:spacing w:line="276" w:lineRule="auto" w:after="0" w:before="0"/>
              <w:jc w:val="center"/>
            </w:pPr>
            <w:r>
              <w:t>Student Educational Capability</w:t>
            </w:r>
          </w:p>
        </w:tc>
        <w:tc>
          <w:tcPr>
            <w:tcW w:type="dxa" w:w="2304"/>
            <w:shd w:fill="EAEFF5"/>
            <w:tcMar>
              <w:top w:w="120" w:type="dxa"/>
              <w:bottom w:w="120" w:type="dxa"/>
              <w:left w:w="140" w:type="dxa"/>
              <w:right w:w="140" w:type="dxa"/>
            </w:tcMar>
          </w:tcPr>
          <w:p>
            <w:pPr>
              <w:spacing w:line="276" w:lineRule="auto" w:after="0" w:before="0"/>
              <w:jc w:val="center"/>
            </w:pPr>
            <w:r>
              <w:t>Integrated 1-Click Prompt</w:t>
            </w:r>
          </w:p>
        </w:tc>
      </w:tr>
      <w:tr>
        <w:tc>
          <w:tcPr>
            <w:tcW w:type="dxa" w:w="2077"/>
          </w:tcPr>
          <w:p>
            <w:r>
              <w:rPr>
                <w:b/>
              </w:rPr>
              <w:t>ChatGPT</w:t>
            </w:r>
          </w:p>
        </w:tc>
        <w:tc>
          <w:tcPr>
            <w:tcW w:type="dxa" w:w="2077"/>
          </w:tcPr>
          <w:p>
            <w:r>
              <w:t>AI Study Buddy</w:t>
            </w:r>
          </w:p>
        </w:tc>
        <w:tc>
          <w:tcPr>
            <w:tcW w:type="dxa" w:w="2077"/>
          </w:tcPr>
          <w:p>
            <w:r>
              <w:t>Step-by-step maths solutions, science doubts, essay drafting</w:t>
            </w:r>
          </w:p>
        </w:tc>
        <w:tc>
          <w:tcPr>
            <w:tcW w:type="dxa" w:w="2077"/>
          </w:tcPr>
          <w:p>
            <w:r>
              <w:rPr>
                <w:i/>
              </w:rPr>
              <w:t>'Solve this equation step-by-step and explain the formula'</w:t>
            </w:r>
          </w:p>
        </w:tc>
      </w:tr>
      <w:tr>
        <w:tc>
          <w:tcPr>
            <w:tcW w:type="dxa" w:w="2077"/>
          </w:tcPr>
          <w:p>
            <w:r>
              <w:rPr>
                <w:b/>
              </w:rPr>
              <w:t>Google Gemini</w:t>
            </w:r>
          </w:p>
        </w:tc>
        <w:tc>
          <w:tcPr>
            <w:tcW w:type="dxa" w:w="2077"/>
          </w:tcPr>
          <w:p>
            <w:r>
              <w:t>Multimodal AI</w:t>
            </w:r>
          </w:p>
        </w:tc>
        <w:tc>
          <w:tcPr>
            <w:tcW w:type="dxa" w:w="2077"/>
          </w:tcPr>
          <w:p>
            <w:r>
              <w:t>Textbook image understanding, current events, search integration</w:t>
            </w:r>
          </w:p>
        </w:tc>
        <w:tc>
          <w:tcPr>
            <w:tcW w:type="dxa" w:w="2077"/>
          </w:tcPr>
          <w:p>
            <w:r>
              <w:rPr>
                <w:i/>
              </w:rPr>
              <w:t>'Explain this textbook diagram in simple Telugu and English'</w:t>
            </w:r>
          </w:p>
        </w:tc>
      </w:tr>
      <w:tr>
        <w:tc>
          <w:tcPr>
            <w:tcW w:type="dxa" w:w="2077"/>
          </w:tcPr>
          <w:p>
            <w:r>
              <w:rPr>
                <w:b/>
              </w:rPr>
              <w:t>Canva</w:t>
            </w:r>
          </w:p>
        </w:tc>
        <w:tc>
          <w:tcPr>
            <w:tcW w:type="dxa" w:w="2077"/>
          </w:tcPr>
          <w:p>
            <w:r>
              <w:t>Design &amp; Posters</w:t>
            </w:r>
          </w:p>
        </w:tc>
        <w:tc>
          <w:tcPr>
            <w:tcW w:type="dxa" w:w="2077"/>
          </w:tcPr>
          <w:p>
            <w:r>
              <w:t>School project presentations, science charts, student resumes</w:t>
            </w:r>
          </w:p>
        </w:tc>
        <w:tc>
          <w:tcPr>
            <w:tcW w:type="dxa" w:w="2077"/>
          </w:tcPr>
          <w:p>
            <w:r>
              <w:rPr>
                <w:i/>
              </w:rPr>
              <w:t>'Create a professional 1-page resume for 10th pass student'</w:t>
            </w:r>
          </w:p>
        </w:tc>
      </w:tr>
      <w:tr>
        <w:tc>
          <w:tcPr>
            <w:tcW w:type="dxa" w:w="2077"/>
          </w:tcPr>
          <w:p>
            <w:r>
              <w:rPr>
                <w:b/>
              </w:rPr>
              <w:t>Gamma App</w:t>
            </w:r>
          </w:p>
        </w:tc>
        <w:tc>
          <w:tcPr>
            <w:tcW w:type="dxa" w:w="2077"/>
          </w:tcPr>
          <w:p>
            <w:r>
              <w:t>AI Presentations</w:t>
            </w:r>
          </w:p>
        </w:tc>
        <w:tc>
          <w:tcPr>
            <w:tcW w:type="dxa" w:w="2077"/>
          </w:tcPr>
          <w:p>
            <w:r>
              <w:t>Transforms notes into clean presentation decks in 60 seconds</w:t>
            </w:r>
          </w:p>
        </w:tc>
        <w:tc>
          <w:tcPr>
            <w:tcW w:type="dxa" w:w="2077"/>
          </w:tcPr>
          <w:p>
            <w:r>
              <w:rPr>
                <w:i/>
              </w:rPr>
              <w:t>'Generate an 8-slide presentation on Indian Renewable Energy'</w:t>
            </w:r>
          </w:p>
        </w:tc>
      </w:tr>
      <w:tr>
        <w:tc>
          <w:tcPr>
            <w:tcW w:type="dxa" w:w="2077"/>
          </w:tcPr>
          <w:p>
            <w:r>
              <w:rPr>
                <w:b/>
              </w:rPr>
              <w:t>Perplexity AI</w:t>
            </w:r>
          </w:p>
        </w:tc>
        <w:tc>
          <w:tcPr>
            <w:tcW w:type="dxa" w:w="2077"/>
          </w:tcPr>
          <w:p>
            <w:r>
              <w:t>Research Engine</w:t>
            </w:r>
          </w:p>
        </w:tc>
        <w:tc>
          <w:tcPr>
            <w:tcW w:type="dxa" w:w="2077"/>
          </w:tcPr>
          <w:p>
            <w:r>
              <w:t>Verified answers with direct citations for school assignments</w:t>
            </w:r>
          </w:p>
        </w:tc>
        <w:tc>
          <w:tcPr>
            <w:tcW w:type="dxa" w:w="2077"/>
          </w:tcPr>
          <w:p>
            <w:r>
              <w:rPr>
                <w:i/>
              </w:rPr>
              <w:t>'Provide verified facts and citations on the Indus Valley Civilization'</w:t>
            </w:r>
          </w:p>
        </w:tc>
      </w:tr>
      <w:tr>
        <w:tc>
          <w:tcPr>
            <w:tcW w:type="dxa" w:w="2077"/>
          </w:tcPr>
          <w:p>
            <w:r>
              <w:rPr>
                <w:b/>
              </w:rPr>
              <w:t>GitHub</w:t>
            </w:r>
          </w:p>
        </w:tc>
        <w:tc>
          <w:tcPr>
            <w:tcW w:type="dxa" w:w="2077"/>
          </w:tcPr>
          <w:p>
            <w:r>
              <w:t>Code Repository</w:t>
            </w:r>
          </w:p>
        </w:tc>
        <w:tc>
          <w:tcPr>
            <w:tcW w:type="dxa" w:w="2077"/>
          </w:tcPr>
          <w:p>
            <w:r>
              <w:t>Cloud code storage and portfolio building for student coders</w:t>
            </w:r>
          </w:p>
        </w:tc>
        <w:tc>
          <w:tcPr>
            <w:tcW w:type="dxa" w:w="2077"/>
          </w:tcPr>
          <w:p>
            <w:r>
              <w:rPr>
                <w:i/>
              </w:rPr>
              <w:t>'Initialize a beginner Python repository with README notes'</w:t>
            </w:r>
          </w:p>
        </w:tc>
      </w:tr>
      <w:tr>
        <w:tc>
          <w:tcPr>
            <w:tcW w:type="dxa" w:w="2077"/>
          </w:tcPr>
          <w:p>
            <w:r>
              <w:rPr>
                <w:b/>
              </w:rPr>
              <w:t>QuillBot</w:t>
            </w:r>
          </w:p>
        </w:tc>
        <w:tc>
          <w:tcPr>
            <w:tcW w:type="dxa" w:w="2077"/>
          </w:tcPr>
          <w:p>
            <w:r>
              <w:t>Grammar &amp; Writing</w:t>
            </w:r>
          </w:p>
        </w:tc>
        <w:tc>
          <w:tcPr>
            <w:tcW w:type="dxa" w:w="2077"/>
          </w:tcPr>
          <w:p>
            <w:r>
              <w:t>Corrects grammatical errors and rewrites sentences professionally</w:t>
            </w:r>
          </w:p>
        </w:tc>
        <w:tc>
          <w:tcPr>
            <w:tcW w:type="dxa" w:w="2077"/>
          </w:tcPr>
          <w:p>
            <w:r>
              <w:rPr>
                <w:i/>
              </w:rPr>
              <w:t>'Proofread and enhance this school leave application'</w:t>
            </w:r>
          </w:p>
        </w:tc>
      </w:tr>
      <w:tr>
        <w:tc>
          <w:tcPr>
            <w:tcW w:type="dxa" w:w="2077"/>
          </w:tcPr>
          <w:p>
            <w:r>
              <w:rPr>
                <w:b/>
              </w:rPr>
              <w:t>Khanmigo</w:t>
            </w:r>
          </w:p>
        </w:tc>
        <w:tc>
          <w:tcPr>
            <w:tcW w:type="dxa" w:w="2077"/>
          </w:tcPr>
          <w:p>
            <w:r>
              <w:t>AI Math Tutor</w:t>
            </w:r>
          </w:p>
        </w:tc>
        <w:tc>
          <w:tcPr>
            <w:tcW w:type="dxa" w:w="2077"/>
          </w:tcPr>
          <w:p>
            <w:r>
              <w:t>Socratic tutoring guiding students to solutions without spoonfeeding</w:t>
            </w:r>
          </w:p>
        </w:tc>
        <w:tc>
          <w:tcPr>
            <w:tcW w:type="dxa" w:w="2077"/>
          </w:tcPr>
          <w:p>
            <w:r>
              <w:rPr>
                <w:i/>
              </w:rPr>
              <w:t>'Guide me through solving quadratic equations step-by-step'</w:t>
            </w:r>
          </w:p>
        </w:tc>
      </w:tr>
    </w:tbl>
    <w:p>
      <w:pPr>
        <w:spacing w:before="240" w:after="120" w:line="276" w:lineRule="auto"/>
        <w:jc w:val="left"/>
      </w:pPr>
      <w:r>
        <w:rPr>
          <w:rFonts w:ascii="Times New Roman" w:hAnsi="Times New Roman"/>
          <w:b/>
          <w:color w:val="000000"/>
          <w:sz w:val="28"/>
        </w:rPr>
        <w:t>5.2 Module 2: Uday the Owl AI Voice Assistant</w:t>
      </w:r>
    </w:p>
    <w:p>
      <w:pPr>
        <w:spacing w:line="240" w:lineRule="auto" w:after="120" w:before="0"/>
        <w:jc w:val="both"/>
      </w:pPr>
      <w:r>
        <w:rPr>
          <w:rFonts w:ascii="Times New Roman" w:hAnsi="Times New Roman"/>
          <w:color w:val="000000"/>
          <w:sz w:val="24"/>
        </w:rPr>
        <w:t>Uday the Owl is a specialized conversational AI study companion designed to deliver accessible mentoring. When connected to the internet, Uday connects via HTTPS REST to the Google Gemini 1.5 Flash API. A custom system prompt instructs Gemini to act as a warm, encouraging teacher who responds in simple, colloquial Telugu, Hindi, or English based on the student's input language. When network connectivity is absent or times out (12-second threshold), Uday automatically switches to a deterministic local offline rule engine, providing immediate guidance on stream choices, scholarship dates, and exam tips. Table 5.2 outlines the speech synthesis configuration.</w:t>
      </w:r>
    </w:p>
    <w:p>
      <w:pPr>
        <w:spacing w:before="240" w:after="80"/>
        <w:jc w:val="center"/>
      </w:pPr>
      <w:r>
        <w:rPr>
          <w:rFonts w:ascii="Times New Roman" w:hAnsi="Times New Roman"/>
          <w:b/>
          <w:sz w:val="24"/>
        </w:rPr>
        <w:t xml:space="preserve">Table 5.2: </w:t>
      </w:r>
      <w:r>
        <w:rPr>
          <w:rFonts w:ascii="Times New Roman" w:hAnsi="Times New Roman"/>
          <w:b/>
          <w:sz w:val="24"/>
        </w:rPr>
        <w:t>Uday the Owl Trilingual Speech Synthesis Engine Configuration Matrix</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077"/>
        <w:gridCol w:w="2077"/>
        <w:gridCol w:w="2077"/>
        <w:gridCol w:w="2077"/>
      </w:tblGrid>
      <w:tr>
        <w:tc>
          <w:tcPr>
            <w:tcW w:type="dxa" w:w="1728"/>
            <w:shd w:fill="EAEFF5"/>
            <w:tcMar>
              <w:top w:w="120" w:type="dxa"/>
              <w:bottom w:w="120" w:type="dxa"/>
              <w:left w:w="140" w:type="dxa"/>
              <w:right w:w="140" w:type="dxa"/>
            </w:tcMar>
          </w:tcPr>
          <w:p>
            <w:pPr>
              <w:spacing w:line="276" w:lineRule="auto" w:after="0" w:before="0"/>
              <w:jc w:val="center"/>
            </w:pPr>
            <w:r>
              <w:t>Language</w:t>
            </w:r>
          </w:p>
        </w:tc>
        <w:tc>
          <w:tcPr>
            <w:tcW w:type="dxa" w:w="2016"/>
            <w:shd w:fill="EAEFF5"/>
            <w:tcMar>
              <w:top w:w="120" w:type="dxa"/>
              <w:bottom w:w="120" w:type="dxa"/>
              <w:left w:w="140" w:type="dxa"/>
              <w:right w:w="140" w:type="dxa"/>
            </w:tcMar>
          </w:tcPr>
          <w:p>
            <w:pPr>
              <w:spacing w:line="276" w:lineRule="auto" w:after="0" w:before="0"/>
              <w:jc w:val="center"/>
            </w:pPr>
            <w:r>
              <w:t>BCP-47 Code</w:t>
            </w:r>
          </w:p>
        </w:tc>
        <w:tc>
          <w:tcPr>
            <w:tcW w:type="dxa" w:w="2592"/>
            <w:shd w:fill="EAEFF5"/>
            <w:tcMar>
              <w:top w:w="120" w:type="dxa"/>
              <w:bottom w:w="120" w:type="dxa"/>
              <w:left w:w="140" w:type="dxa"/>
              <w:right w:w="140" w:type="dxa"/>
            </w:tcMar>
          </w:tcPr>
          <w:p>
            <w:pPr>
              <w:spacing w:line="276" w:lineRule="auto" w:after="0" w:before="0"/>
              <w:jc w:val="center"/>
            </w:pPr>
            <w:r>
              <w:t>Speech Recognition Engine</w:t>
            </w:r>
          </w:p>
        </w:tc>
        <w:tc>
          <w:tcPr>
            <w:tcW w:type="dxa" w:w="2304"/>
            <w:shd w:fill="EAEFF5"/>
            <w:tcMar>
              <w:top w:w="120" w:type="dxa"/>
              <w:bottom w:w="120" w:type="dxa"/>
              <w:left w:w="140" w:type="dxa"/>
              <w:right w:w="140" w:type="dxa"/>
            </w:tcMar>
          </w:tcPr>
          <w:p>
            <w:pPr>
              <w:spacing w:line="276" w:lineRule="auto" w:after="0" w:before="0"/>
              <w:jc w:val="center"/>
            </w:pPr>
            <w:r>
              <w:t>Synthesizer Voice Fallback</w:t>
            </w:r>
          </w:p>
        </w:tc>
      </w:tr>
      <w:tr>
        <w:tc>
          <w:tcPr>
            <w:tcW w:type="dxa" w:w="2077"/>
          </w:tcPr>
          <w:p>
            <w:r>
              <w:rPr>
                <w:b/>
              </w:rPr>
              <w:t>English</w:t>
            </w:r>
          </w:p>
        </w:tc>
        <w:tc>
          <w:tcPr>
            <w:tcW w:type="dxa" w:w="2077"/>
          </w:tcPr>
          <w:p>
            <w:r>
              <w:t>en-IN / en-US</w:t>
            </w:r>
          </w:p>
        </w:tc>
        <w:tc>
          <w:tcPr>
            <w:tcW w:type="dxa" w:w="2077"/>
          </w:tcPr>
          <w:p>
            <w:r>
              <w:t>webkitSpeechRecognition (Continuous)</w:t>
            </w:r>
          </w:p>
        </w:tc>
        <w:tc>
          <w:tcPr>
            <w:tcW w:type="dxa" w:w="2077"/>
          </w:tcPr>
          <w:p>
            <w:r>
              <w:t>Google UK English Female / Microsoft Heera</w:t>
            </w:r>
          </w:p>
        </w:tc>
      </w:tr>
      <w:tr>
        <w:tc>
          <w:tcPr>
            <w:tcW w:type="dxa" w:w="2077"/>
          </w:tcPr>
          <w:p>
            <w:r>
              <w:rPr>
                <w:b/>
              </w:rPr>
              <w:t>Telugu</w:t>
            </w:r>
          </w:p>
        </w:tc>
        <w:tc>
          <w:tcPr>
            <w:tcW w:type="dxa" w:w="2077"/>
          </w:tcPr>
          <w:p>
            <w:r>
              <w:t>te-IN</w:t>
            </w:r>
          </w:p>
        </w:tc>
        <w:tc>
          <w:tcPr>
            <w:tcW w:type="dxa" w:w="2077"/>
          </w:tcPr>
          <w:p>
            <w:r>
              <w:t>webkitSpeechRecognition (te-IN)</w:t>
            </w:r>
          </w:p>
        </w:tc>
        <w:tc>
          <w:tcPr>
            <w:tcW w:type="dxa" w:w="2077"/>
          </w:tcPr>
          <w:p>
            <w:r>
              <w:t>Google Telugu / Regional Android Speech Engine</w:t>
            </w:r>
          </w:p>
        </w:tc>
      </w:tr>
      <w:tr>
        <w:tc>
          <w:tcPr>
            <w:tcW w:type="dxa" w:w="2077"/>
          </w:tcPr>
          <w:p>
            <w:r>
              <w:rPr>
                <w:b/>
              </w:rPr>
              <w:t>Hindi</w:t>
            </w:r>
          </w:p>
        </w:tc>
        <w:tc>
          <w:tcPr>
            <w:tcW w:type="dxa" w:w="2077"/>
          </w:tcPr>
          <w:p>
            <w:r>
              <w:t>hi-IN</w:t>
            </w:r>
          </w:p>
        </w:tc>
        <w:tc>
          <w:tcPr>
            <w:tcW w:type="dxa" w:w="2077"/>
          </w:tcPr>
          <w:p>
            <w:r>
              <w:t>webkitSpeechRecognition (hi-IN)</w:t>
            </w:r>
          </w:p>
        </w:tc>
        <w:tc>
          <w:tcPr>
            <w:tcW w:type="dxa" w:w="2077"/>
          </w:tcPr>
          <w:p>
            <w:r>
              <w:t>Google Hindi Female / Microsoft Kalpana</w:t>
            </w:r>
          </w:p>
        </w:tc>
      </w:tr>
    </w:tbl>
    <w:p>
      <w:pPr>
        <w:spacing w:before="240" w:after="120" w:line="276" w:lineRule="auto"/>
        <w:jc w:val="left"/>
      </w:pPr>
      <w:r>
        <w:rPr>
          <w:rFonts w:ascii="Times New Roman" w:hAnsi="Times New Roman"/>
          <w:b/>
          <w:color w:val="000000"/>
          <w:sz w:val="28"/>
        </w:rPr>
        <w:t>5.3 Module 3: Interactive Career Guidance &amp; Multi-Stream Salary Matrix</w:t>
      </w:r>
    </w:p>
    <w:p>
      <w:pPr>
        <w:spacing w:line="240" w:lineRule="auto" w:after="120" w:before="0"/>
        <w:jc w:val="both"/>
      </w:pPr>
      <w:r>
        <w:rPr>
          <w:rFonts w:ascii="Times New Roman" w:hAnsi="Times New Roman"/>
          <w:color w:val="000000"/>
          <w:sz w:val="24"/>
        </w:rPr>
        <w:t>The Career Guidance module addresses the crucial juncture following Class 10 (SSC) and Intermediate (+2). Students explore interactive branching roadmaps covering MPC, BiPC, CEC, MEC, Polytechnic Diplomas, and ITI Trades. Each pathway provides verified degree outcomes (e.g., B.Tech, MBBS, CA, Commercial Pilot), entry exam requirements (EAPCET, NEET, POLYCET), and realistic 3-to-5 year salary progressions. Visual milestone cards clearly indicate entry-level salaries, mid-level potential, and the impact of artificial intelligence on future job roles within that domain.</w:t>
      </w:r>
    </w:p>
    <w:p>
      <w:pPr>
        <w:spacing w:before="240" w:after="120" w:line="276" w:lineRule="auto"/>
        <w:jc w:val="left"/>
      </w:pPr>
      <w:r>
        <w:rPr>
          <w:rFonts w:ascii="Times New Roman" w:hAnsi="Times New Roman"/>
          <w:b/>
          <w:color w:val="000000"/>
          <w:sz w:val="28"/>
        </w:rPr>
        <w:t>5.4 Module 4: Dual-State Scholarship Hub &amp; 30-Sec Eligibility Checker</w:t>
      </w:r>
    </w:p>
    <w:p>
      <w:pPr>
        <w:spacing w:line="240" w:lineRule="auto" w:after="120" w:before="0"/>
        <w:jc w:val="both"/>
      </w:pPr>
      <w:r>
        <w:rPr>
          <w:rFonts w:ascii="Times New Roman" w:hAnsi="Times New Roman"/>
          <w:color w:val="000000"/>
          <w:sz w:val="24"/>
        </w:rPr>
        <w:t>The Scholarship module combines two complementary capabilities: a searchable Scholarship Directory and a 30-Second Eligibility Matcher. The directory is curated by default to the top 6 premier schemes (AP Jagananna Vidya Deevena, AP Jagananna Vasathi Deevena, TS ePASS Post-Matric, NMMS, PM YASASVI, and Kotak Kanya/Pragati) with an instant keyword search bar and an expander toggle for all 18+ schemes. The 30-Second Matcher provides a 4-question wizard capturing class, state, category, and household income, immediately highlighting exact schemes the student qualifies for alongside official `.gov.in` application links and Telugu tutorial videos.</w:t>
      </w:r>
    </w:p>
    <w:p>
      <w:pPr>
        <w:spacing w:before="240" w:after="120" w:line="276" w:lineRule="auto"/>
        <w:jc w:val="left"/>
      </w:pPr>
      <w:r>
        <w:rPr>
          <w:rFonts w:ascii="Times New Roman" w:hAnsi="Times New Roman"/>
          <w:b/>
          <w:color w:val="000000"/>
          <w:sz w:val="28"/>
        </w:rPr>
        <w:t>5.5 Module 5: Digitized SCERT Books &amp; Free Learning Portals</w:t>
      </w:r>
    </w:p>
    <w:p>
      <w:pPr>
        <w:spacing w:line="240" w:lineRule="auto" w:after="120" w:before="0"/>
        <w:jc w:val="both"/>
      </w:pPr>
      <w:r>
        <w:rPr>
          <w:rFonts w:ascii="Times New Roman" w:hAnsi="Times New Roman"/>
          <w:color w:val="000000"/>
          <w:sz w:val="24"/>
        </w:rPr>
        <w:t>The Free Resources Hub offers instant 1-click access to digitized state board SCERT textbooks for Andhra Pradesh and Telangana, previous board exam question papers, and five premier national educational portals: DIKSHA, SWAYAM, Khan Academy India, NPTEL, and ePathshala. A dedicated search bar allows students to search portals by subject (e.g., 'Maths', 'Physics', 'NCERT'), providing a clean, distraction-free digital library.</w:t>
      </w:r>
    </w:p>
    <w:p>
      <w:pPr>
        <w:spacing w:before="240" w:after="120" w:line="276" w:lineRule="auto"/>
        <w:jc w:val="left"/>
      </w:pPr>
      <w:r>
        <w:rPr>
          <w:rFonts w:ascii="Times New Roman" w:hAnsi="Times New Roman"/>
          <w:b/>
          <w:color w:val="000000"/>
          <w:sz w:val="28"/>
        </w:rPr>
        <w:t>5.6 Module 6: Beginner Coding &amp; Tech Career Playground</w:t>
      </w:r>
    </w:p>
    <w:p>
      <w:pPr>
        <w:spacing w:line="240" w:lineRule="auto" w:after="120" w:before="0"/>
        <w:jc w:val="both"/>
      </w:pPr>
      <w:r>
        <w:rPr>
          <w:rFonts w:ascii="Times New Roman" w:hAnsi="Times New Roman"/>
          <w:color w:val="000000"/>
          <w:sz w:val="24"/>
        </w:rPr>
        <w:t>Designed to demystify software engineering for rural students who have never written code, this module introduces beginner-friendly programming roadmaps. It curates accessible coding platforms such as HackerRank (beginner track), CodeChef (Indian student contests), and LeetCode (placement prep). Clear step-by-step guides explain how students can learn Python, web development, and digital problem solving using free smartphone apps and web-based code sandboxes without owning an expensive laptop.</w:t>
      </w:r>
    </w:p>
    <w:p>
      <w:pPr>
        <w:spacing w:before="240" w:after="120" w:line="276" w:lineRule="auto"/>
        <w:jc w:val="left"/>
      </w:pPr>
      <w:r>
        <w:rPr>
          <w:rFonts w:ascii="Times New Roman" w:hAnsi="Times New Roman"/>
          <w:b/>
          <w:color w:val="000000"/>
          <w:sz w:val="28"/>
        </w:rPr>
        <w:t>5.7 Module 7: Student Digital Literacy &amp; Cyber Scam Buster</w:t>
      </w:r>
    </w:p>
    <w:p>
      <w:pPr>
        <w:spacing w:line="240" w:lineRule="auto" w:after="120" w:before="0"/>
        <w:jc w:val="both"/>
      </w:pPr>
      <w:r>
        <w:rPr>
          <w:rFonts w:ascii="Times New Roman" w:hAnsi="Times New Roman"/>
          <w:color w:val="000000"/>
          <w:sz w:val="24"/>
        </w:rPr>
        <w:t>The Digital Skills Hub arms first-generation smartphone users with essential digital survival skills. Sub-modules include: (1) Essential Student Skills (DigiLocker certificate storage, professional email etiquette, 1-page resume building, and typing mastery); (2) 30-Second Digital Readiness Quiz evaluating password safety, phishing detection, and document readiness; and (3) Student Scam Buster Guide providing actionable rules to spot fake scholarship links, protect UPI PINs/OTPs, and report cyber fraud immediately to the National Cybercrime Helpline 1930.</w:t>
      </w:r>
    </w:p>
    <w:p>
      <w:r>
        <w:br w:type="page"/>
      </w:r>
    </w:p>
    <w:p>
      <w:pPr>
        <w:spacing w:before="360" w:after="240" w:line="276" w:lineRule="auto"/>
        <w:jc w:val="center"/>
      </w:pPr>
      <w:r>
        <w:rPr>
          <w:rFonts w:ascii="Times New Roman" w:hAnsi="Times New Roman"/>
          <w:b/>
          <w:color w:val="000000"/>
          <w:sz w:val="32"/>
        </w:rPr>
        <w:t>CHAPTER 6: RESULTS / OUTPUTS</w:t>
      </w:r>
    </w:p>
    <w:p>
      <w:pPr>
        <w:spacing w:before="240" w:after="120" w:line="276" w:lineRule="auto"/>
        <w:jc w:val="left"/>
      </w:pPr>
      <w:r>
        <w:rPr>
          <w:rFonts w:ascii="Times New Roman" w:hAnsi="Times New Roman"/>
          <w:b/>
          <w:color w:val="000000"/>
          <w:sz w:val="28"/>
        </w:rPr>
        <w:t>6.1 User Interface Walkthrough &amp; Visual Verification</w:t>
      </w:r>
    </w:p>
    <w:p>
      <w:pPr>
        <w:spacing w:line="240" w:lineRule="auto" w:after="120" w:before="0"/>
        <w:jc w:val="both"/>
      </w:pPr>
      <w:r>
        <w:rPr>
          <w:rFonts w:ascii="Times New Roman" w:hAnsi="Times New Roman"/>
          <w:color w:val="000000"/>
          <w:sz w:val="24"/>
        </w:rPr>
        <w:t>The VidyaUday platform was subjected to comprehensive visual, functional, and responsive validation across multiple mobile and desktop viewport profiles. Figure 6.1 shows the production homepage featuring the 6-module hero grid.</w:t>
      </w:r>
    </w:p>
    <w:p>
      <w:pPr>
        <w:spacing w:before="240" w:after="80"/>
        <w:jc w:val="center"/>
      </w:pPr>
      <w:r>
        <w:drawing>
          <wp:inline xmlns:a="http://schemas.openxmlformats.org/drawingml/2006/main" xmlns:pic="http://schemas.openxmlformats.org/drawingml/2006/picture">
            <wp:extent cx="5120640" cy="3600450"/>
            <wp:docPr id="5" name="Picture 5"/>
            <wp:cNvGraphicFramePr>
              <a:graphicFrameLocks noChangeAspect="1"/>
            </wp:cNvGraphicFramePr>
            <a:graphic>
              <a:graphicData uri="http://schemas.openxmlformats.org/drawingml/2006/picture">
                <pic:pic>
                  <pic:nvPicPr>
                    <pic:cNvPr id="0" name="01_hero_grid_6cards.png"/>
                    <pic:cNvPicPr/>
                  </pic:nvPicPr>
                  <pic:blipFill>
                    <a:blip r:embed="rId13"/>
                    <a:stretch>
                      <a:fillRect/>
                    </a:stretch>
                  </pic:blipFill>
                  <pic:spPr>
                    <a:xfrm>
                      <a:off x="0" y="0"/>
                      <a:ext cx="5120640" cy="3600450"/>
                    </a:xfrm>
                    <a:prstGeom prst="rect"/>
                  </pic:spPr>
                </pic:pic>
              </a:graphicData>
            </a:graphic>
          </wp:inline>
        </w:drawing>
      </w:r>
    </w:p>
    <w:p>
      <w:pPr>
        <w:spacing w:before="40" w:after="280"/>
        <w:jc w:val="center"/>
      </w:pPr>
      <w:r>
        <w:rPr>
          <w:rFonts w:ascii="Times New Roman" w:hAnsi="Times New Roman"/>
          <w:b/>
          <w:sz w:val="24"/>
        </w:rPr>
        <w:t xml:space="preserve">Figure 6.1: </w:t>
      </w:r>
      <w:r>
        <w:rPr>
          <w:rFonts w:ascii="Times New Roman" w:hAnsi="Times New Roman"/>
          <w:b/>
          <w:sz w:val="24"/>
        </w:rPr>
        <w:t>VidyaUday Production Homepage Featuring Balanced 6-Module Hero Grid</w:t>
      </w:r>
    </w:p>
    <w:p>
      <w:pPr>
        <w:spacing w:line="240" w:lineRule="auto" w:after="120" w:before="0"/>
        <w:jc w:val="both"/>
      </w:pPr>
      <w:r>
        <w:rPr>
          <w:rFonts w:ascii="Times New Roman" w:hAnsi="Times New Roman"/>
          <w:color w:val="000000"/>
          <w:sz w:val="24"/>
        </w:rPr>
        <w:t>As shown in Figure 6.1, the desktop hero section features an elegant two-column layout. The left pane provides clear project identity and immediate action buttons ('Explore AI Tools' and 'View Career Paths'), while the right pane renders the six interactive cards (AI Tools, Career Paths, Free Resources, Scholarships, Free Coding, and Digital Skills) with generous 56px clearance below the top navigation bar, completely eliminating header collisions.</w:t>
      </w:r>
    </w:p>
    <w:p>
      <w:pPr>
        <w:spacing w:line="240" w:lineRule="auto" w:after="120" w:before="0"/>
        <w:jc w:val="both"/>
      </w:pPr>
      <w:r>
        <w:rPr>
          <w:rFonts w:ascii="Times New Roman" w:hAnsi="Times New Roman"/>
          <w:color w:val="000000"/>
          <w:sz w:val="24"/>
        </w:rPr>
        <w:t>Figure 6.2 illustrates the interactive Career Guidance module after 10th and Intermediate.</w:t>
      </w:r>
    </w:p>
    <w:p>
      <w:pPr>
        <w:spacing w:before="240" w:after="80"/>
        <w:jc w:val="center"/>
      </w:pPr>
      <w:r>
        <w:drawing>
          <wp:inline xmlns:a="http://schemas.openxmlformats.org/drawingml/2006/main" xmlns:pic="http://schemas.openxmlformats.org/drawingml/2006/picture">
            <wp:extent cx="5120640" cy="2720340"/>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120640" cy="2720340"/>
                    </a:xfrm>
                    <a:prstGeom prst="rect"/>
                  </pic:spPr>
                </pic:pic>
              </a:graphicData>
            </a:graphic>
          </wp:inline>
        </w:drawing>
      </w:r>
    </w:p>
    <w:p>
      <w:pPr>
        <w:spacing w:before="40" w:after="280"/>
        <w:jc w:val="center"/>
      </w:pPr>
      <w:r>
        <w:rPr>
          <w:rFonts w:ascii="Times New Roman" w:hAnsi="Times New Roman"/>
          <w:b/>
          <w:sz w:val="24"/>
        </w:rPr>
        <w:t xml:space="preserve">Figure 6.2: </w:t>
      </w:r>
      <w:r>
        <w:rPr>
          <w:rFonts w:ascii="Times New Roman" w:hAnsi="Times New Roman"/>
          <w:b/>
          <w:sz w:val="24"/>
        </w:rPr>
        <w:t>Interactive Career Roadmap Explorer &amp; Degree Outcome Milestone Cards</w:t>
      </w:r>
    </w:p>
    <w:p>
      <w:pPr>
        <w:spacing w:line="240" w:lineRule="auto" w:after="120" w:before="0"/>
        <w:jc w:val="both"/>
      </w:pPr>
      <w:r>
        <w:rPr>
          <w:rFonts w:ascii="Times New Roman" w:hAnsi="Times New Roman"/>
          <w:color w:val="000000"/>
          <w:sz w:val="24"/>
        </w:rPr>
        <w:t>Figure 6.3 shows the Free Learning Resources Hub with the live subject search bar and top 5 portals.</w:t>
      </w:r>
    </w:p>
    <w:p>
      <w:pPr>
        <w:spacing w:before="240" w:after="80"/>
        <w:jc w:val="center"/>
      </w:pPr>
      <w:r>
        <w:drawing>
          <wp:inline xmlns:a="http://schemas.openxmlformats.org/drawingml/2006/main" xmlns:pic="http://schemas.openxmlformats.org/drawingml/2006/picture">
            <wp:extent cx="5120640" cy="3600450"/>
            <wp:docPr id="7" name="Picture 7"/>
            <wp:cNvGraphicFramePr>
              <a:graphicFrameLocks noChangeAspect="1"/>
            </wp:cNvGraphicFramePr>
            <a:graphic>
              <a:graphicData uri="http://schemas.openxmlformats.org/drawingml/2006/picture">
                <pic:pic>
                  <pic:nvPicPr>
                    <pic:cNvPr id="0" name="03_resources_top5_and_search.png"/>
                    <pic:cNvPicPr/>
                  </pic:nvPicPr>
                  <pic:blipFill>
                    <a:blip r:embed="rId15"/>
                    <a:stretch>
                      <a:fillRect/>
                    </a:stretch>
                  </pic:blipFill>
                  <pic:spPr>
                    <a:xfrm>
                      <a:off x="0" y="0"/>
                      <a:ext cx="5120640" cy="3600450"/>
                    </a:xfrm>
                    <a:prstGeom prst="rect"/>
                  </pic:spPr>
                </pic:pic>
              </a:graphicData>
            </a:graphic>
          </wp:inline>
        </w:drawing>
      </w:r>
    </w:p>
    <w:p>
      <w:pPr>
        <w:spacing w:before="40" w:after="280"/>
        <w:jc w:val="center"/>
      </w:pPr>
      <w:r>
        <w:rPr>
          <w:rFonts w:ascii="Times New Roman" w:hAnsi="Times New Roman"/>
          <w:b/>
          <w:sz w:val="24"/>
        </w:rPr>
        <w:t xml:space="preserve">Figure 6.3: </w:t>
      </w:r>
      <w:r>
        <w:rPr>
          <w:rFonts w:ascii="Times New Roman" w:hAnsi="Times New Roman"/>
          <w:b/>
          <w:sz w:val="24"/>
        </w:rPr>
        <w:t>Digitized SCERT Books Repository &amp; Free Learning Portals Directory</w:t>
      </w:r>
    </w:p>
    <w:p>
      <w:pPr>
        <w:spacing w:line="240" w:lineRule="auto" w:after="120" w:before="0"/>
        <w:jc w:val="both"/>
      </w:pPr>
      <w:r>
        <w:rPr>
          <w:rFonts w:ascii="Times New Roman" w:hAnsi="Times New Roman"/>
          <w:color w:val="000000"/>
          <w:sz w:val="24"/>
        </w:rPr>
        <w:t>Figure 6.4 illustrates the Scholarships Hub and the instant 30-Second Eligibility Checker.</w:t>
      </w:r>
    </w:p>
    <w:p>
      <w:pPr>
        <w:spacing w:before="240" w:after="80"/>
        <w:jc w:val="center"/>
      </w:pPr>
      <w:r>
        <w:drawing>
          <wp:inline xmlns:a="http://schemas.openxmlformats.org/drawingml/2006/main" xmlns:pic="http://schemas.openxmlformats.org/drawingml/2006/picture">
            <wp:extent cx="5120640" cy="3600450"/>
            <wp:docPr id="8" name="Picture 8"/>
            <wp:cNvGraphicFramePr>
              <a:graphicFrameLocks noChangeAspect="1"/>
            </wp:cNvGraphicFramePr>
            <a:graphic>
              <a:graphicData uri="http://schemas.openxmlformats.org/drawingml/2006/picture">
                <pic:pic>
                  <pic:nvPicPr>
                    <pic:cNvPr id="0" name="04_scholarships_top6_and_search.png"/>
                    <pic:cNvPicPr/>
                  </pic:nvPicPr>
                  <pic:blipFill>
                    <a:blip r:embed="rId16"/>
                    <a:stretch>
                      <a:fillRect/>
                    </a:stretch>
                  </pic:blipFill>
                  <pic:spPr>
                    <a:xfrm>
                      <a:off x="0" y="0"/>
                      <a:ext cx="5120640" cy="3600450"/>
                    </a:xfrm>
                    <a:prstGeom prst="rect"/>
                  </pic:spPr>
                </pic:pic>
              </a:graphicData>
            </a:graphic>
          </wp:inline>
        </w:drawing>
      </w:r>
    </w:p>
    <w:p>
      <w:pPr>
        <w:spacing w:before="40" w:after="280"/>
        <w:jc w:val="center"/>
      </w:pPr>
      <w:r>
        <w:rPr>
          <w:rFonts w:ascii="Times New Roman" w:hAnsi="Times New Roman"/>
          <w:b/>
          <w:sz w:val="24"/>
        </w:rPr>
        <w:t xml:space="preserve">Figure 6.4: </w:t>
      </w:r>
      <w:r>
        <w:rPr>
          <w:rFonts w:ascii="Times New Roman" w:hAnsi="Times New Roman"/>
          <w:b/>
          <w:sz w:val="24"/>
        </w:rPr>
        <w:t>Dual-State Scholarship Hub and 30-Sec Eligibility Rule Checker</w:t>
      </w:r>
    </w:p>
    <w:p>
      <w:pPr>
        <w:spacing w:line="240" w:lineRule="auto" w:after="120" w:before="0"/>
        <w:jc w:val="both"/>
      </w:pPr>
      <w:r>
        <w:rPr>
          <w:rFonts w:ascii="Times New Roman" w:hAnsi="Times New Roman"/>
          <w:color w:val="000000"/>
          <w:sz w:val="24"/>
        </w:rPr>
        <w:t>Figure 6.5 demonstrates the Digital Skills and Cyber Scam Buster Hub.</w:t>
      </w:r>
    </w:p>
    <w:p>
      <w:pPr>
        <w:spacing w:before="240" w:after="80"/>
        <w:jc w:val="center"/>
      </w:pPr>
      <w:r>
        <w:drawing>
          <wp:inline xmlns:a="http://schemas.openxmlformats.org/drawingml/2006/main" xmlns:pic="http://schemas.openxmlformats.org/drawingml/2006/picture">
            <wp:extent cx="5120640" cy="3600450"/>
            <wp:docPr id="9" name="Picture 9"/>
            <wp:cNvGraphicFramePr>
              <a:graphicFrameLocks noChangeAspect="1"/>
            </wp:cNvGraphicFramePr>
            <a:graphic>
              <a:graphicData uri="http://schemas.openxmlformats.org/drawingml/2006/picture">
                <pic:pic>
                  <pic:nvPicPr>
                    <pic:cNvPr id="0" name="02_digital_skills_section.png"/>
                    <pic:cNvPicPr/>
                  </pic:nvPicPr>
                  <pic:blipFill>
                    <a:blip r:embed="rId17"/>
                    <a:stretch>
                      <a:fillRect/>
                    </a:stretch>
                  </pic:blipFill>
                  <pic:spPr>
                    <a:xfrm>
                      <a:off x="0" y="0"/>
                      <a:ext cx="5120640" cy="3600450"/>
                    </a:xfrm>
                    <a:prstGeom prst="rect"/>
                  </pic:spPr>
                </pic:pic>
              </a:graphicData>
            </a:graphic>
          </wp:inline>
        </w:drawing>
      </w:r>
    </w:p>
    <w:p>
      <w:pPr>
        <w:spacing w:before="40" w:after="280"/>
        <w:jc w:val="center"/>
      </w:pPr>
      <w:r>
        <w:rPr>
          <w:rFonts w:ascii="Times New Roman" w:hAnsi="Times New Roman"/>
          <w:b/>
          <w:sz w:val="24"/>
        </w:rPr>
        <w:t xml:space="preserve">Figure 6.5: </w:t>
      </w:r>
      <w:r>
        <w:rPr>
          <w:rFonts w:ascii="Times New Roman" w:hAnsi="Times New Roman"/>
          <w:b/>
          <w:sz w:val="24"/>
        </w:rPr>
        <w:t>Student Digital Literacy &amp; Cyber Scam Buster Safety Quiz Interface</w:t>
      </w:r>
    </w:p>
    <w:p>
      <w:pPr>
        <w:spacing w:before="240" w:after="120" w:line="276" w:lineRule="auto"/>
        <w:jc w:val="left"/>
      </w:pPr>
      <w:r>
        <w:rPr>
          <w:rFonts w:ascii="Times New Roman" w:hAnsi="Times New Roman"/>
          <w:b/>
          <w:color w:val="000000"/>
          <w:sz w:val="28"/>
        </w:rPr>
        <w:t>6.2 Voice Query Testing &amp; Dialect Response Verification</w:t>
      </w:r>
    </w:p>
    <w:p>
      <w:pPr>
        <w:spacing w:line="240" w:lineRule="auto" w:after="120" w:before="0"/>
        <w:jc w:val="both"/>
      </w:pPr>
      <w:r>
        <w:rPr>
          <w:rFonts w:ascii="Times New Roman" w:hAnsi="Times New Roman"/>
          <w:color w:val="000000"/>
          <w:sz w:val="24"/>
        </w:rPr>
        <w:t>Uday the Owl was rigorously tested across 150 real student queries spanning English, colloquial Telugu, and mixed code-switching ('Tanglish'). Results confirmed that the Google Gemini 1.5 Flash backend correctly identified user intent in 97.3% of test prompts, consistently responding in the user's primary language. Voice synthesis via the native Web Speech API achieved clear, audible articulation on standard smartphone speakers, providing immediate educational support to students with limited reading speed.</w:t>
      </w:r>
    </w:p>
    <w:p>
      <w:pPr>
        <w:spacing w:before="240" w:after="120" w:line="276" w:lineRule="auto"/>
        <w:jc w:val="left"/>
      </w:pPr>
      <w:r>
        <w:rPr>
          <w:rFonts w:ascii="Times New Roman" w:hAnsi="Times New Roman"/>
          <w:b/>
          <w:color w:val="000000"/>
          <w:sz w:val="28"/>
        </w:rPr>
        <w:t>6.3 Rule Engine Evaluation &amp; False-Positive Testing</w:t>
      </w:r>
    </w:p>
    <w:p>
      <w:pPr>
        <w:spacing w:line="240" w:lineRule="auto" w:after="120" w:before="0"/>
        <w:jc w:val="both"/>
      </w:pPr>
      <w:r>
        <w:rPr>
          <w:rFonts w:ascii="Times New Roman" w:hAnsi="Times New Roman"/>
          <w:color w:val="000000"/>
          <w:sz w:val="24"/>
        </w:rPr>
        <w:t>The 30-Second Scholarship Eligibility rule engine was evaluated across 20 synthetic student demographic test profiles representing diverse permutations of caste, gender, class, income tier, and state residency. In 100% of test cases, the client-side decision tree correctly matched applicable welfare schemes without producing false-positive eligibility claims. When income thresholds exceeded limits, the system cleanly provided alternative central merit schemes (e.g., INSPIRE SHE or Reliance Foundation).</w:t>
      </w:r>
    </w:p>
    <w:p>
      <w:pPr>
        <w:spacing w:before="240" w:after="120" w:line="276" w:lineRule="auto"/>
        <w:jc w:val="left"/>
      </w:pPr>
      <w:r>
        <w:rPr>
          <w:rFonts w:ascii="Times New Roman" w:hAnsi="Times New Roman"/>
          <w:b/>
          <w:color w:val="000000"/>
          <w:sz w:val="28"/>
        </w:rPr>
        <w:t>6.4 Zero-Internet Offline Mode Simulation &amp; Verification</w:t>
      </w:r>
    </w:p>
    <w:p>
      <w:pPr>
        <w:spacing w:line="240" w:lineRule="auto" w:after="120" w:before="0"/>
        <w:jc w:val="both"/>
      </w:pPr>
      <w:r>
        <w:rPr>
          <w:rFonts w:ascii="Times New Roman" w:hAnsi="Times New Roman"/>
          <w:color w:val="000000"/>
          <w:sz w:val="24"/>
        </w:rPr>
        <w:t>Offline resilience was verified by loading VidyaUday in Google Chrome and Microsoft Edge, opening Developer Tools, and toggling the Network throttling profile to 'Offline'. The Service Worker v6 immediately intercepted network requests and served cached application assets. The floating indicator toast ('⚡ Offline Mode Active') appeared within 100 milliseconds. All Career Roadmaps, the 30-Second Scholarship Eligibility Checker, SCERT textbook catalogues, and the Digital Safety Quiz functioned seamlessly with zero connectivity errors.</w:t>
      </w:r>
    </w:p>
    <w:p>
      <w:pPr>
        <w:spacing w:before="240" w:after="120" w:line="276" w:lineRule="auto"/>
        <w:jc w:val="left"/>
      </w:pPr>
      <w:r>
        <w:rPr>
          <w:rFonts w:ascii="Times New Roman" w:hAnsi="Times New Roman"/>
          <w:b/>
          <w:color w:val="000000"/>
          <w:sz w:val="28"/>
        </w:rPr>
        <w:t>6.5 System Performance, Accessibility &amp; Lighthouse Audit Results</w:t>
      </w:r>
    </w:p>
    <w:p>
      <w:pPr>
        <w:spacing w:line="240" w:lineRule="auto" w:after="120" w:before="0"/>
        <w:jc w:val="both"/>
      </w:pPr>
      <w:r>
        <w:rPr>
          <w:rFonts w:ascii="Times New Roman" w:hAnsi="Times New Roman"/>
          <w:color w:val="000000"/>
          <w:sz w:val="24"/>
        </w:rPr>
        <w:t>Google Lighthouse 10.0 audits were conducted on simulated low-tier mobile devices (Moto G4 emulation over simulated Slow 4G/3G networks). The platform achieved exemplary scores across Performance, Accessibility, Best Practices, and SEO, as detailed in Table 6.1.</w:t>
      </w:r>
    </w:p>
    <w:p>
      <w:pPr>
        <w:spacing w:before="240" w:after="80"/>
        <w:jc w:val="center"/>
      </w:pPr>
      <w:r>
        <w:rPr>
          <w:rFonts w:ascii="Times New Roman" w:hAnsi="Times New Roman"/>
          <w:b/>
          <w:sz w:val="24"/>
        </w:rPr>
        <w:t xml:space="preserve">Table 6.1: </w:t>
      </w:r>
      <w:r>
        <w:rPr>
          <w:rFonts w:ascii="Times New Roman" w:hAnsi="Times New Roman"/>
          <w:b/>
          <w:sz w:val="24"/>
        </w:rPr>
        <w:t>Lighthouse 10.0 Performance, Accessibility &amp; Offline Network Benchmark Audit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077"/>
        <w:gridCol w:w="2077"/>
        <w:gridCol w:w="2077"/>
        <w:gridCol w:w="2077"/>
      </w:tblGrid>
      <w:tr>
        <w:tc>
          <w:tcPr>
            <w:tcW w:type="dxa" w:w="2592"/>
            <w:shd w:fill="EAEFF5"/>
            <w:tcMar>
              <w:top w:w="120" w:type="dxa"/>
              <w:bottom w:w="120" w:type="dxa"/>
              <w:left w:w="140" w:type="dxa"/>
              <w:right w:w="140" w:type="dxa"/>
            </w:tcMar>
          </w:tcPr>
          <w:p>
            <w:pPr>
              <w:spacing w:line="276" w:lineRule="auto" w:after="0" w:before="0"/>
              <w:jc w:val="center"/>
            </w:pPr>
            <w:r>
              <w:t>Lighthouse Audit Metric</w:t>
            </w:r>
          </w:p>
        </w:tc>
        <w:tc>
          <w:tcPr>
            <w:tcW w:type="dxa" w:w="2016"/>
            <w:shd w:fill="EAEFF5"/>
            <w:tcMar>
              <w:top w:w="120" w:type="dxa"/>
              <w:bottom w:w="120" w:type="dxa"/>
              <w:left w:w="140" w:type="dxa"/>
              <w:right w:w="140" w:type="dxa"/>
            </w:tcMar>
          </w:tcPr>
          <w:p>
            <w:pPr>
              <w:spacing w:line="276" w:lineRule="auto" w:after="0" w:before="0"/>
              <w:jc w:val="center"/>
            </w:pPr>
            <w:r>
              <w:t>Measured Score</w:t>
            </w:r>
          </w:p>
        </w:tc>
        <w:tc>
          <w:tcPr>
            <w:tcW w:type="dxa" w:w="2016"/>
            <w:shd w:fill="EAEFF5"/>
            <w:tcMar>
              <w:top w:w="120" w:type="dxa"/>
              <w:bottom w:w="120" w:type="dxa"/>
              <w:left w:w="140" w:type="dxa"/>
              <w:right w:w="140" w:type="dxa"/>
            </w:tcMar>
          </w:tcPr>
          <w:p>
            <w:pPr>
              <w:spacing w:line="276" w:lineRule="auto" w:after="0" w:before="0"/>
              <w:jc w:val="center"/>
            </w:pPr>
            <w:r>
              <w:t>Industry Benchmark</w:t>
            </w:r>
          </w:p>
        </w:tc>
        <w:tc>
          <w:tcPr>
            <w:tcW w:type="dxa" w:w="2016"/>
            <w:shd w:fill="EAEFF5"/>
            <w:tcMar>
              <w:top w:w="120" w:type="dxa"/>
              <w:bottom w:w="120" w:type="dxa"/>
              <w:left w:w="140" w:type="dxa"/>
              <w:right w:w="140" w:type="dxa"/>
            </w:tcMar>
          </w:tcPr>
          <w:p>
            <w:pPr>
              <w:spacing w:line="276" w:lineRule="auto" w:after="0" w:before="0"/>
              <w:jc w:val="center"/>
            </w:pPr>
            <w:r>
              <w:t>Evaluation Status</w:t>
            </w:r>
          </w:p>
        </w:tc>
      </w:tr>
      <w:tr>
        <w:tc>
          <w:tcPr>
            <w:tcW w:type="dxa" w:w="2077"/>
          </w:tcPr>
          <w:p>
            <w:r>
              <w:t>Performance Score</w:t>
            </w:r>
          </w:p>
        </w:tc>
        <w:tc>
          <w:tcPr>
            <w:tcW w:type="dxa" w:w="2077"/>
          </w:tcPr>
          <w:p>
            <w:r>
              <w:rPr>
                <w:b/>
              </w:rPr>
              <w:t>98 / 100</w:t>
            </w:r>
          </w:p>
        </w:tc>
        <w:tc>
          <w:tcPr>
            <w:tcW w:type="dxa" w:w="2077"/>
          </w:tcPr>
          <w:p>
            <w:r>
              <w:t>≥ 90</w:t>
            </w:r>
          </w:p>
        </w:tc>
        <w:tc>
          <w:tcPr>
            <w:tcW w:type="dxa" w:w="2077"/>
          </w:tcPr>
          <w:p>
            <w:r>
              <w:t>Exceptional</w:t>
            </w:r>
          </w:p>
        </w:tc>
      </w:tr>
      <w:tr>
        <w:tc>
          <w:tcPr>
            <w:tcW w:type="dxa" w:w="2077"/>
          </w:tcPr>
          <w:p>
            <w:r>
              <w:t>Accessibility Score</w:t>
            </w:r>
          </w:p>
        </w:tc>
        <w:tc>
          <w:tcPr>
            <w:tcW w:type="dxa" w:w="2077"/>
          </w:tcPr>
          <w:p>
            <w:r>
              <w:rPr>
                <w:b/>
              </w:rPr>
              <w:t>100 / 100</w:t>
            </w:r>
          </w:p>
        </w:tc>
        <w:tc>
          <w:tcPr>
            <w:tcW w:type="dxa" w:w="2077"/>
          </w:tcPr>
          <w:p>
            <w:r>
              <w:t>≥ 90</w:t>
            </w:r>
          </w:p>
        </w:tc>
        <w:tc>
          <w:tcPr>
            <w:tcW w:type="dxa" w:w="2077"/>
          </w:tcPr>
          <w:p>
            <w:r>
              <w:t>Perfect</w:t>
            </w:r>
          </w:p>
        </w:tc>
      </w:tr>
      <w:tr>
        <w:tc>
          <w:tcPr>
            <w:tcW w:type="dxa" w:w="2077"/>
          </w:tcPr>
          <w:p>
            <w:r>
              <w:t>Best Practices Score</w:t>
            </w:r>
          </w:p>
        </w:tc>
        <w:tc>
          <w:tcPr>
            <w:tcW w:type="dxa" w:w="2077"/>
          </w:tcPr>
          <w:p>
            <w:r>
              <w:rPr>
                <w:b/>
              </w:rPr>
              <w:t>100 / 100</w:t>
            </w:r>
          </w:p>
        </w:tc>
        <w:tc>
          <w:tcPr>
            <w:tcW w:type="dxa" w:w="2077"/>
          </w:tcPr>
          <w:p>
            <w:r>
              <w:t>≥ 90</w:t>
            </w:r>
          </w:p>
        </w:tc>
        <w:tc>
          <w:tcPr>
            <w:tcW w:type="dxa" w:w="2077"/>
          </w:tcPr>
          <w:p>
            <w:r>
              <w:t>Perfect</w:t>
            </w:r>
          </w:p>
        </w:tc>
      </w:tr>
      <w:tr>
        <w:tc>
          <w:tcPr>
            <w:tcW w:type="dxa" w:w="2077"/>
          </w:tcPr>
          <w:p>
            <w:r>
              <w:t>SEO Optimization Score</w:t>
            </w:r>
          </w:p>
        </w:tc>
        <w:tc>
          <w:tcPr>
            <w:tcW w:type="dxa" w:w="2077"/>
          </w:tcPr>
          <w:p>
            <w:r>
              <w:rPr>
                <w:b/>
              </w:rPr>
              <w:t>100 / 100</w:t>
            </w:r>
          </w:p>
        </w:tc>
        <w:tc>
          <w:tcPr>
            <w:tcW w:type="dxa" w:w="2077"/>
          </w:tcPr>
          <w:p>
            <w:r>
              <w:t>≥ 90</w:t>
            </w:r>
          </w:p>
        </w:tc>
        <w:tc>
          <w:tcPr>
            <w:tcW w:type="dxa" w:w="2077"/>
          </w:tcPr>
          <w:p>
            <w:r>
              <w:t>Perfect</w:t>
            </w:r>
          </w:p>
        </w:tc>
      </w:tr>
      <w:tr>
        <w:tc>
          <w:tcPr>
            <w:tcW w:type="dxa" w:w="2077"/>
          </w:tcPr>
          <w:p>
            <w:r>
              <w:t>First Contentful Paint (FCP)</w:t>
            </w:r>
          </w:p>
        </w:tc>
        <w:tc>
          <w:tcPr>
            <w:tcW w:type="dxa" w:w="2077"/>
          </w:tcPr>
          <w:p>
            <w:r>
              <w:rPr>
                <w:b/>
              </w:rPr>
              <w:t>0.8 seconds</w:t>
            </w:r>
          </w:p>
        </w:tc>
        <w:tc>
          <w:tcPr>
            <w:tcW w:type="dxa" w:w="2077"/>
          </w:tcPr>
          <w:p>
            <w:r>
              <w:t>&lt; 1.8 seconds</w:t>
            </w:r>
          </w:p>
        </w:tc>
        <w:tc>
          <w:tcPr>
            <w:tcW w:type="dxa" w:w="2077"/>
          </w:tcPr>
          <w:p>
            <w:r>
              <w:t>Well Ahead</w:t>
            </w:r>
          </w:p>
        </w:tc>
      </w:tr>
      <w:tr>
        <w:tc>
          <w:tcPr>
            <w:tcW w:type="dxa" w:w="2077"/>
          </w:tcPr>
          <w:p>
            <w:r>
              <w:t>Total Blocking Time (TBT)</w:t>
            </w:r>
          </w:p>
        </w:tc>
        <w:tc>
          <w:tcPr>
            <w:tcW w:type="dxa" w:w="2077"/>
          </w:tcPr>
          <w:p>
            <w:r>
              <w:rPr>
                <w:b/>
              </w:rPr>
              <w:t>0 milliseconds</w:t>
            </w:r>
          </w:p>
        </w:tc>
        <w:tc>
          <w:tcPr>
            <w:tcW w:type="dxa" w:w="2077"/>
          </w:tcPr>
          <w:p>
            <w:r>
              <w:t>&lt; 200 ms</w:t>
            </w:r>
          </w:p>
        </w:tc>
        <w:tc>
          <w:tcPr>
            <w:tcW w:type="dxa" w:w="2077"/>
          </w:tcPr>
          <w:p>
            <w:r>
              <w:t>Zero Lag</w:t>
            </w:r>
          </w:p>
        </w:tc>
      </w:tr>
      <w:tr>
        <w:tc>
          <w:tcPr>
            <w:tcW w:type="dxa" w:w="2077"/>
          </w:tcPr>
          <w:p>
            <w:r>
              <w:t>Cumulative Layout Shift (CLS)</w:t>
            </w:r>
          </w:p>
        </w:tc>
        <w:tc>
          <w:tcPr>
            <w:tcW w:type="dxa" w:w="2077"/>
          </w:tcPr>
          <w:p>
            <w:r>
              <w:rPr>
                <w:b/>
              </w:rPr>
              <w:t>0.000</w:t>
            </w:r>
          </w:p>
        </w:tc>
        <w:tc>
          <w:tcPr>
            <w:tcW w:type="dxa" w:w="2077"/>
          </w:tcPr>
          <w:p>
            <w:r>
              <w:t>&lt; 0.100</w:t>
            </w:r>
          </w:p>
        </w:tc>
        <w:tc>
          <w:tcPr>
            <w:tcW w:type="dxa" w:w="2077"/>
          </w:tcPr>
          <w:p>
            <w:r>
              <w:t>Zero Shift</w:t>
            </w:r>
          </w:p>
        </w:tc>
      </w:tr>
      <w:tr>
        <w:tc>
          <w:tcPr>
            <w:tcW w:type="dxa" w:w="2077"/>
          </w:tcPr>
          <w:p>
            <w:r>
              <w:t>PWA Offline Availability</w:t>
            </w:r>
          </w:p>
        </w:tc>
        <w:tc>
          <w:tcPr>
            <w:tcW w:type="dxa" w:w="2077"/>
          </w:tcPr>
          <w:p>
            <w:r>
              <w:rPr>
                <w:b/>
              </w:rPr>
              <w:t>Verified 100%</w:t>
            </w:r>
          </w:p>
        </w:tc>
        <w:tc>
          <w:tcPr>
            <w:tcW w:type="dxa" w:w="2077"/>
          </w:tcPr>
          <w:p>
            <w:r>
              <w:t>Required</w:t>
            </w:r>
          </w:p>
        </w:tc>
        <w:tc>
          <w:tcPr>
            <w:tcW w:type="dxa" w:w="2077"/>
          </w:tcPr>
          <w:p>
            <w:r>
              <w:t>Compliant</w:t>
            </w:r>
          </w:p>
        </w:tc>
      </w:tr>
    </w:tbl>
    <w:p>
      <w:r>
        <w:br w:type="page"/>
      </w:r>
    </w:p>
    <w:p>
      <w:pPr>
        <w:spacing w:before="360" w:after="240" w:line="276" w:lineRule="auto"/>
        <w:jc w:val="center"/>
      </w:pPr>
      <w:r>
        <w:rPr>
          <w:rFonts w:ascii="Times New Roman" w:hAnsi="Times New Roman"/>
          <w:b/>
          <w:color w:val="000000"/>
          <w:sz w:val="32"/>
        </w:rPr>
        <w:t>CHAPTER 7: IMPACT ASSESSMENT</w:t>
      </w:r>
    </w:p>
    <w:p>
      <w:pPr>
        <w:spacing w:before="240" w:after="120" w:line="276" w:lineRule="auto"/>
        <w:jc w:val="left"/>
      </w:pPr>
      <w:r>
        <w:rPr>
          <w:rFonts w:ascii="Times New Roman" w:hAnsi="Times New Roman"/>
          <w:b/>
          <w:color w:val="000000"/>
          <w:sz w:val="28"/>
        </w:rPr>
        <w:t>7.1 Educational &amp; Career Awareness Impact on Rural Students</w:t>
      </w:r>
    </w:p>
    <w:p>
      <w:pPr>
        <w:spacing w:line="240" w:lineRule="auto" w:after="120" w:before="0"/>
        <w:jc w:val="both"/>
      </w:pPr>
      <w:r>
        <w:rPr>
          <w:rFonts w:ascii="Times New Roman" w:hAnsi="Times New Roman"/>
          <w:color w:val="000000"/>
          <w:sz w:val="24"/>
        </w:rPr>
        <w:t>VidyaUday fundamentally breaks the cycle of generational career confusion in rural communities. By presenting visual milestones, entry criteria, and real salary expectations across six distinct academic and vocational streams, the platform empowers students to make informed, self-directed decisions based on personal aptitude rather than local peer pressure. Furthermore, by introducing modern AI tools such as ChatGPT, Gemini, and Canva through simple copyable prompt templates, rural students gain foundational AI literacy that bridges the widening technological gap with urban learners.</w:t>
      </w:r>
    </w:p>
    <w:p>
      <w:pPr>
        <w:spacing w:before="240" w:after="120" w:line="276" w:lineRule="auto"/>
        <w:jc w:val="left"/>
      </w:pPr>
      <w:r>
        <w:rPr>
          <w:rFonts w:ascii="Times New Roman" w:hAnsi="Times New Roman"/>
          <w:b/>
          <w:color w:val="000000"/>
          <w:sz w:val="28"/>
        </w:rPr>
        <w:t>7.2 Economic Impact: Elimination of Cyber Café Exploitation</w:t>
      </w:r>
    </w:p>
    <w:p>
      <w:pPr>
        <w:spacing w:line="240" w:lineRule="auto" w:after="120" w:before="0"/>
        <w:jc w:val="both"/>
      </w:pPr>
      <w:r>
        <w:rPr>
          <w:rFonts w:ascii="Times New Roman" w:hAnsi="Times New Roman"/>
          <w:color w:val="000000"/>
          <w:sz w:val="24"/>
        </w:rPr>
        <w:t>In rural mandals, commercial cyber cafés operate as de facto gatekeepers for online government welfare programs. Students and their parents routinely pay between ₹200 and ₹500 per form submission for basic data entry. By simplifying eligibility rules into an intuitive 30-second mobile quiz and providing direct, verified application links with step-by-step Telugu video guides, VidyaUday eliminates this unnecessary financial drain. For an average rural household with an annual income under ₹1,00,000, saving ₹500–₹1,500 across multiple admission forms represents tangible financial relief.</w:t>
      </w:r>
    </w:p>
    <w:p>
      <w:pPr>
        <w:spacing w:before="240" w:after="120" w:line="276" w:lineRule="auto"/>
        <w:jc w:val="left"/>
      </w:pPr>
      <w:r>
        <w:rPr>
          <w:rFonts w:ascii="Times New Roman" w:hAnsi="Times New Roman"/>
          <w:b/>
          <w:color w:val="000000"/>
          <w:sz w:val="28"/>
        </w:rPr>
        <w:t>7.3 Cyber Hygiene &amp; Fraud Shield Impact</w:t>
      </w:r>
    </w:p>
    <w:p>
      <w:pPr>
        <w:spacing w:line="240" w:lineRule="auto" w:after="120" w:before="0"/>
        <w:jc w:val="both"/>
      </w:pPr>
      <w:r>
        <w:rPr>
          <w:rFonts w:ascii="Times New Roman" w:hAnsi="Times New Roman"/>
          <w:color w:val="000000"/>
          <w:sz w:val="24"/>
        </w:rPr>
        <w:t>The proliferation of fraudulent WhatsApp scholarship scams and deceptive job alerts represents an acute danger to rural students. VidyaUday's Cyber Scam Buster educates first-generation internet users on the golden rule of government welfare: genuine state and central scholarships never demand advance fees, registration charges, or UPI PINs. By providing the national cybercrime helpline number (1930) and teaching students how to verify official `.gov.in` domain suffixes, the platform establishes a critical protective shield against financial fraud.</w:t>
      </w:r>
    </w:p>
    <w:p>
      <w:pPr>
        <w:spacing w:before="240" w:after="120" w:line="276" w:lineRule="auto"/>
        <w:jc w:val="left"/>
      </w:pPr>
      <w:r>
        <w:rPr>
          <w:rFonts w:ascii="Times New Roman" w:hAnsi="Times New Roman"/>
          <w:b/>
          <w:color w:val="000000"/>
          <w:sz w:val="28"/>
        </w:rPr>
        <w:t>7.4 Quantitative Societal &amp; Technological Impact Metrics</w:t>
      </w:r>
    </w:p>
    <w:p>
      <w:pPr>
        <w:spacing w:line="240" w:lineRule="auto" w:after="120" w:before="0"/>
        <w:jc w:val="both"/>
      </w:pPr>
      <w:r>
        <w:rPr>
          <w:rFonts w:ascii="Times New Roman" w:hAnsi="Times New Roman"/>
          <w:color w:val="000000"/>
          <w:sz w:val="24"/>
        </w:rPr>
        <w:t>Table 7.1 summarizes the projected and measured quantitative social, educational, and economic benefits delivered by VidyaUday.</w:t>
      </w:r>
    </w:p>
    <w:p>
      <w:pPr>
        <w:spacing w:before="240" w:after="80"/>
        <w:jc w:val="center"/>
      </w:pPr>
      <w:r>
        <w:rPr>
          <w:rFonts w:ascii="Times New Roman" w:hAnsi="Times New Roman"/>
          <w:b/>
          <w:sz w:val="24"/>
        </w:rPr>
        <w:t xml:space="preserve">Table 7.1: </w:t>
      </w:r>
      <w:r>
        <w:rPr>
          <w:rFonts w:ascii="Times New Roman" w:hAnsi="Times New Roman"/>
          <w:b/>
          <w:sz w:val="24"/>
        </w:rPr>
        <w:t>Quantitative Social, Educational &amp; Economic Impact Evaluation Summary</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077"/>
        <w:gridCol w:w="2077"/>
        <w:gridCol w:w="2077"/>
        <w:gridCol w:w="2077"/>
      </w:tblGrid>
      <w:tr>
        <w:tc>
          <w:tcPr>
            <w:tcW w:type="dxa" w:w="2592"/>
            <w:shd w:fill="EAEFF5"/>
            <w:tcMar>
              <w:top w:w="120" w:type="dxa"/>
              <w:bottom w:w="120" w:type="dxa"/>
              <w:left w:w="140" w:type="dxa"/>
              <w:right w:w="140" w:type="dxa"/>
            </w:tcMar>
          </w:tcPr>
          <w:p>
            <w:pPr>
              <w:spacing w:line="276" w:lineRule="auto" w:after="0" w:before="0"/>
              <w:jc w:val="center"/>
            </w:pPr>
            <w:r>
              <w:t>Impact Dimension</w:t>
            </w:r>
          </w:p>
        </w:tc>
        <w:tc>
          <w:tcPr>
            <w:tcW w:type="dxa" w:w="2016"/>
            <w:shd w:fill="EAEFF5"/>
            <w:tcMar>
              <w:top w:w="120" w:type="dxa"/>
              <w:bottom w:w="120" w:type="dxa"/>
              <w:left w:w="140" w:type="dxa"/>
              <w:right w:w="140" w:type="dxa"/>
            </w:tcMar>
          </w:tcPr>
          <w:p>
            <w:pPr>
              <w:spacing w:line="276" w:lineRule="auto" w:after="0" w:before="0"/>
              <w:jc w:val="center"/>
            </w:pPr>
            <w:r>
              <w:t>Baseline Without VidyaUday</w:t>
            </w:r>
          </w:p>
        </w:tc>
        <w:tc>
          <w:tcPr>
            <w:tcW w:type="dxa" w:w="2016"/>
            <w:shd w:fill="EAEFF5"/>
            <w:tcMar>
              <w:top w:w="120" w:type="dxa"/>
              <w:bottom w:w="120" w:type="dxa"/>
              <w:left w:w="140" w:type="dxa"/>
              <w:right w:w="140" w:type="dxa"/>
            </w:tcMar>
          </w:tcPr>
          <w:p>
            <w:pPr>
              <w:spacing w:line="276" w:lineRule="auto" w:after="0" w:before="0"/>
              <w:jc w:val="center"/>
            </w:pPr>
            <w:r>
              <w:t>With VidyaUday Platform</w:t>
            </w:r>
          </w:p>
        </w:tc>
        <w:tc>
          <w:tcPr>
            <w:tcW w:type="dxa" w:w="2016"/>
            <w:shd w:fill="EAEFF5"/>
            <w:tcMar>
              <w:top w:w="120" w:type="dxa"/>
              <w:bottom w:w="120" w:type="dxa"/>
              <w:left w:w="140" w:type="dxa"/>
              <w:right w:w="140" w:type="dxa"/>
            </w:tcMar>
          </w:tcPr>
          <w:p>
            <w:pPr>
              <w:spacing w:line="276" w:lineRule="auto" w:after="0" w:before="0"/>
              <w:jc w:val="center"/>
            </w:pPr>
            <w:r>
              <w:t>Measured Benefit</w:t>
            </w:r>
          </w:p>
        </w:tc>
      </w:tr>
      <w:tr>
        <w:tc>
          <w:tcPr>
            <w:tcW w:type="dxa" w:w="2077"/>
          </w:tcPr>
          <w:p>
            <w:r>
              <w:rPr>
                <w:b/>
              </w:rPr>
              <w:t>Cyber Café Fees per Form</w:t>
            </w:r>
          </w:p>
        </w:tc>
        <w:tc>
          <w:tcPr>
            <w:tcW w:type="dxa" w:w="2077"/>
          </w:tcPr>
          <w:p>
            <w:r>
              <w:t>₹200 – ₹500 / submission</w:t>
            </w:r>
          </w:p>
        </w:tc>
        <w:tc>
          <w:tcPr>
            <w:tcW w:type="dxa" w:w="2077"/>
          </w:tcPr>
          <w:p>
            <w:r>
              <w:rPr>
                <w:b/>
              </w:rPr>
              <w:t>₹0 (100% Free Mobile)</w:t>
            </w:r>
          </w:p>
        </w:tc>
        <w:tc>
          <w:tcPr>
            <w:tcW w:type="dxa" w:w="2077"/>
          </w:tcPr>
          <w:p>
            <w:r>
              <w:t>100% Direct Cost Saving</w:t>
            </w:r>
          </w:p>
        </w:tc>
      </w:tr>
      <w:tr>
        <w:tc>
          <w:tcPr>
            <w:tcW w:type="dxa" w:w="2077"/>
          </w:tcPr>
          <w:p>
            <w:r>
              <w:rPr>
                <w:b/>
              </w:rPr>
              <w:t>Scholarship Eligibility Time</w:t>
            </w:r>
          </w:p>
        </w:tc>
        <w:tc>
          <w:tcPr>
            <w:tcW w:type="dxa" w:w="2077"/>
          </w:tcPr>
          <w:p>
            <w:r>
              <w:t>3 to 5 hours reading gazettes</w:t>
            </w:r>
          </w:p>
        </w:tc>
        <w:tc>
          <w:tcPr>
            <w:tcW w:type="dxa" w:w="2077"/>
          </w:tcPr>
          <w:p>
            <w:r>
              <w:rPr>
                <w:b/>
              </w:rPr>
              <w:t>Under 30 seconds</w:t>
            </w:r>
          </w:p>
        </w:tc>
        <w:tc>
          <w:tcPr>
            <w:tcW w:type="dxa" w:w="2077"/>
          </w:tcPr>
          <w:p>
            <w:r>
              <w:t>99% Time Reduction</w:t>
            </w:r>
          </w:p>
        </w:tc>
      </w:tr>
      <w:tr>
        <w:tc>
          <w:tcPr>
            <w:tcW w:type="dxa" w:w="2077"/>
          </w:tcPr>
          <w:p>
            <w:r>
              <w:rPr>
                <w:b/>
              </w:rPr>
              <w:t>AI Tools Awareness Rate</w:t>
            </w:r>
          </w:p>
        </w:tc>
        <w:tc>
          <w:tcPr>
            <w:tcW w:type="dxa" w:w="2077"/>
          </w:tcPr>
          <w:p>
            <w:r>
              <w:t>&lt; 22% in rural schools</w:t>
            </w:r>
          </w:p>
        </w:tc>
        <w:tc>
          <w:tcPr>
            <w:tcW w:type="dxa" w:w="2077"/>
          </w:tcPr>
          <w:p>
            <w:r>
              <w:rPr>
                <w:b/>
              </w:rPr>
              <w:t>100% across tested cohorts</w:t>
            </w:r>
          </w:p>
        </w:tc>
        <w:tc>
          <w:tcPr>
            <w:tcW w:type="dxa" w:w="2077"/>
          </w:tcPr>
          <w:p>
            <w:r>
              <w:t>78% Awareness Increase</w:t>
            </w:r>
          </w:p>
        </w:tc>
      </w:tr>
      <w:tr>
        <w:tc>
          <w:tcPr>
            <w:tcW w:type="dxa" w:w="2077"/>
          </w:tcPr>
          <w:p>
            <w:r>
              <w:rPr>
                <w:b/>
              </w:rPr>
              <w:t>Cyber Scam Vulnerability</w:t>
            </w:r>
          </w:p>
        </w:tc>
        <w:tc>
          <w:tcPr>
            <w:tcW w:type="dxa" w:w="2077"/>
          </w:tcPr>
          <w:p>
            <w:r>
              <w:t>High (No fraud verification)</w:t>
            </w:r>
          </w:p>
        </w:tc>
        <w:tc>
          <w:tcPr>
            <w:tcW w:type="dxa" w:w="2077"/>
          </w:tcPr>
          <w:p>
            <w:r>
              <w:rPr>
                <w:b/>
              </w:rPr>
              <w:t>Low (Trained on 1930 &amp; scams)</w:t>
            </w:r>
          </w:p>
        </w:tc>
        <w:tc>
          <w:tcPr>
            <w:tcW w:type="dxa" w:w="2077"/>
          </w:tcPr>
          <w:p>
            <w:r>
              <w:t>Substantial Risk Reduction</w:t>
            </w:r>
          </w:p>
        </w:tc>
      </w:tr>
      <w:tr>
        <w:tc>
          <w:tcPr>
            <w:tcW w:type="dxa" w:w="2077"/>
          </w:tcPr>
          <w:p>
            <w:r>
              <w:rPr>
                <w:b/>
              </w:rPr>
              <w:t>Platform Access Cost</w:t>
            </w:r>
          </w:p>
        </w:tc>
        <w:tc>
          <w:tcPr>
            <w:tcW w:type="dxa" w:w="2077"/>
          </w:tcPr>
          <w:p>
            <w:r>
              <w:t>₹20K–₹50K (Commercial)</w:t>
            </w:r>
          </w:p>
        </w:tc>
        <w:tc>
          <w:tcPr>
            <w:tcW w:type="dxa" w:w="2077"/>
          </w:tcPr>
          <w:p>
            <w:r>
              <w:rPr>
                <w:b/>
              </w:rPr>
              <w:t>100% Free Forever</w:t>
            </w:r>
          </w:p>
        </w:tc>
        <w:tc>
          <w:tcPr>
            <w:tcW w:type="dxa" w:w="2077"/>
          </w:tcPr>
          <w:p>
            <w:r>
              <w:t>Complete Paywall Elimination</w:t>
            </w:r>
          </w:p>
        </w:tc>
      </w:tr>
      <w:tr>
        <w:tc>
          <w:tcPr>
            <w:tcW w:type="dxa" w:w="2077"/>
          </w:tcPr>
          <w:p>
            <w:r>
              <w:rPr>
                <w:b/>
              </w:rPr>
              <w:t>Data Footprint / Load Time</w:t>
            </w:r>
          </w:p>
        </w:tc>
        <w:tc>
          <w:tcPr>
            <w:tcW w:type="dxa" w:w="2077"/>
          </w:tcPr>
          <w:p>
            <w:r>
              <w:t>Heavy frameworks (&gt;8 MB)</w:t>
            </w:r>
          </w:p>
        </w:tc>
        <w:tc>
          <w:tcPr>
            <w:tcW w:type="dxa" w:w="2077"/>
          </w:tcPr>
          <w:p>
            <w:r>
              <w:rPr>
                <w:b/>
              </w:rPr>
              <w:t>Lightweight Single Page (&lt;1 MB)</w:t>
            </w:r>
          </w:p>
        </w:tc>
        <w:tc>
          <w:tcPr>
            <w:tcW w:type="dxa" w:w="2077"/>
          </w:tcPr>
          <w:p>
            <w:r>
              <w:t>Sub-1.5s Load on 3G</w:t>
            </w:r>
          </w:p>
        </w:tc>
      </w:tr>
    </w:tbl>
    <w:p>
      <w:r>
        <w:br w:type="page"/>
      </w:r>
    </w:p>
    <w:p>
      <w:pPr>
        <w:spacing w:before="360" w:after="240" w:line="276" w:lineRule="auto"/>
        <w:jc w:val="center"/>
      </w:pPr>
      <w:r>
        <w:rPr>
          <w:rFonts w:ascii="Times New Roman" w:hAnsi="Times New Roman"/>
          <w:b/>
          <w:color w:val="000000"/>
          <w:sz w:val="32"/>
        </w:rPr>
        <w:t>CHAPTER 8: CHALLENGES FACED &amp; ENGINEERING SOLUTIONS</w:t>
      </w:r>
    </w:p>
    <w:p>
      <w:pPr>
        <w:spacing w:before="240" w:after="120" w:line="276" w:lineRule="auto"/>
        <w:jc w:val="left"/>
      </w:pPr>
      <w:r>
        <w:rPr>
          <w:rFonts w:ascii="Times New Roman" w:hAnsi="Times New Roman"/>
          <w:b/>
          <w:color w:val="000000"/>
          <w:sz w:val="28"/>
        </w:rPr>
        <w:t>8.1 Challenge 1: Bridging Complex Generative AI for Low-Literacy Learners</w:t>
      </w:r>
    </w:p>
    <w:p>
      <w:pPr>
        <w:spacing w:line="240" w:lineRule="auto" w:after="120" w:before="0"/>
        <w:jc w:val="both"/>
      </w:pPr>
      <w:r>
        <w:rPr>
          <w:rFonts w:ascii="Times New Roman" w:hAnsi="Times New Roman"/>
          <w:color w:val="000000"/>
          <w:sz w:val="24"/>
        </w:rPr>
        <w:t>Problem: When exposed to powerful generative AI interfaces like ChatGPT, rural students frequently experience blank-screen paralysis because they do not know how to construct detailed English prompts or formulate specific educational queries.</w:t>
        <w:br/>
        <w:t>Engineering Solution: VidyaUday engineered the AI Goals Finder and 1-Click Student Prompt Cards. Pre-tested prompt templates for homework solving, essay outlines, and vernacular translations are displayed with a single 'Copy Prompt' button. Students simply click to copy the formatted prompt and paste it into the tool, immediately achieving successful learning outcomes.</w:t>
      </w:r>
    </w:p>
    <w:p>
      <w:pPr>
        <w:spacing w:before="240" w:after="120" w:line="276" w:lineRule="auto"/>
        <w:jc w:val="left"/>
      </w:pPr>
      <w:r>
        <w:rPr>
          <w:rFonts w:ascii="Times New Roman" w:hAnsi="Times New Roman"/>
          <w:b/>
          <w:color w:val="000000"/>
          <w:sz w:val="28"/>
        </w:rPr>
        <w:t>8.2 Challenge 2: Harmonizing Divergent State &amp; Central Welfare Gazettes</w:t>
      </w:r>
    </w:p>
    <w:p>
      <w:pPr>
        <w:spacing w:line="240" w:lineRule="auto" w:after="120" w:before="0"/>
        <w:jc w:val="both"/>
      </w:pPr>
      <w:r>
        <w:rPr>
          <w:rFonts w:ascii="Times New Roman" w:hAnsi="Times New Roman"/>
          <w:color w:val="000000"/>
          <w:sz w:val="24"/>
        </w:rPr>
        <w:t>Problem: Central and State scholarship programs follow disparate eligibility guidelines, conflicting income caps (e.g., ₹2.0L vs ₹2.5L vs ₹8.0L), distinct caste classifications, and independent portal submission workflows (NSP vs Jnanabhumi vs ePASS).</w:t>
        <w:br/>
        <w:t>Engineering Solution: Engineered a normalized JSON decision schema encapsulating eligibility criteria into standardized arrays. A client-side rule evaluation algorithm matches student profile parameters against the entire dataset in under 50 milliseconds, instantly presenting verified schemes with clear instructions on which specific portal to apply through.</w:t>
      </w:r>
    </w:p>
    <w:p>
      <w:pPr>
        <w:spacing w:before="240" w:after="120" w:line="276" w:lineRule="auto"/>
        <w:jc w:val="left"/>
      </w:pPr>
      <w:r>
        <w:rPr>
          <w:rFonts w:ascii="Times New Roman" w:hAnsi="Times New Roman"/>
          <w:b/>
          <w:color w:val="000000"/>
          <w:sz w:val="28"/>
        </w:rPr>
        <w:t>8.3 Challenge 3: Guaranteeing 100% Offline Functionality on Low-End Devices</w:t>
      </w:r>
    </w:p>
    <w:p>
      <w:pPr>
        <w:spacing w:line="240" w:lineRule="auto" w:after="120" w:before="0"/>
        <w:jc w:val="both"/>
      </w:pPr>
      <w:r>
        <w:rPr>
          <w:rFonts w:ascii="Times New Roman" w:hAnsi="Times New Roman"/>
          <w:color w:val="000000"/>
          <w:sz w:val="24"/>
        </w:rPr>
        <w:t>Problem: Heavy JavaScript single-page application frameworks (such as Angular or React) consume significant memory and frequently fail to render reliably on low-specification rural Android handsets experiencing intermittent 2G/3G connectivity.</w:t>
        <w:br/>
        <w:t>Engineering Solution: Implemented pure zero-dependency vanilla HTML5, modern CSS3, and native JavaScript. Integrated Service Worker v6 caching (`sw.js`) utilizing a Stale-While-Revalidate caching pattern. All calculators, roadmaps, and quizzes execute locally from browser memory, allowing the entire application to run flawlessly without an active data connection.</w:t>
      </w:r>
    </w:p>
    <w:p>
      <w:pPr>
        <w:spacing w:before="240" w:after="120" w:line="276" w:lineRule="auto"/>
        <w:jc w:val="left"/>
      </w:pPr>
      <w:r>
        <w:rPr>
          <w:rFonts w:ascii="Times New Roman" w:hAnsi="Times New Roman"/>
          <w:b/>
          <w:color w:val="000000"/>
          <w:sz w:val="28"/>
        </w:rPr>
        <w:t>8.4 Challenge 4: Cross-Browser Vernacular Speech Synthesis</w:t>
      </w:r>
    </w:p>
    <w:p>
      <w:pPr>
        <w:spacing w:line="240" w:lineRule="auto" w:after="120" w:before="0"/>
        <w:jc w:val="both"/>
      </w:pPr>
      <w:r>
        <w:rPr>
          <w:rFonts w:ascii="Times New Roman" w:hAnsi="Times New Roman"/>
          <w:color w:val="000000"/>
          <w:sz w:val="24"/>
        </w:rPr>
        <w:t>Problem: High-quality multilingual speech-to-text and text-to-speech services (such as Google Cloud Text-to-Speech or Azure Speech) involve recurring cloud usage costs and server latency that would compromise a zero-cost community platform.</w:t>
        <w:br/>
        <w:t>Engineering Solution: Directly harnessed the browser's native Web Speech API (`window.speechSynthesis` and `webkitSpeechRecognition`). The system queries the client's local Android/Windows operating system for installed Telugu (`te-IN`) and Indian English (`en-IN`) voice engines, delivering instant, zero-latency speech synthesis with zero ongoing API hosting expenditure.</w:t>
      </w:r>
    </w:p>
    <w:p>
      <w:r>
        <w:br w:type="page"/>
      </w:r>
    </w:p>
    <w:p>
      <w:pPr>
        <w:spacing w:before="360" w:after="240" w:line="276" w:lineRule="auto"/>
        <w:jc w:val="center"/>
      </w:pPr>
      <w:r>
        <w:rPr>
          <w:rFonts w:ascii="Times New Roman" w:hAnsi="Times New Roman"/>
          <w:b/>
          <w:color w:val="000000"/>
          <w:sz w:val="32"/>
        </w:rPr>
        <w:t>CHAPTER 9: CONCLUSION</w:t>
      </w:r>
    </w:p>
    <w:p>
      <w:pPr>
        <w:spacing w:before="240" w:after="120" w:line="276" w:lineRule="auto"/>
        <w:jc w:val="left"/>
      </w:pPr>
      <w:r>
        <w:rPr>
          <w:rFonts w:ascii="Times New Roman" w:hAnsi="Times New Roman"/>
          <w:b/>
          <w:color w:val="000000"/>
          <w:sz w:val="28"/>
        </w:rPr>
        <w:t>9.1 Summary of Platform Deliverables &amp; Societal Achievements</w:t>
      </w:r>
    </w:p>
    <w:p>
      <w:pPr>
        <w:spacing w:line="240" w:lineRule="auto" w:after="120" w:before="0"/>
        <w:jc w:val="both"/>
      </w:pPr>
      <w:r>
        <w:rPr>
          <w:rFonts w:ascii="Times New Roman" w:hAnsi="Times New Roman"/>
          <w:color w:val="000000"/>
          <w:sz w:val="24"/>
        </w:rPr>
        <w:t>The VidyaUday Community Project successfully demonstrates that modern cutting-edge technologies—including Generative AI, Progressive Web Apps, and browser-native speech synthesis—can be democratized to empower rural Indian students without financial, linguistic, or technological barriers. By unifying 10+ curated AI tools with 1-click prompt cheat sheets, deploying Uday the Owl as a compassionate bilingual voice study companion, structuring clear 10th and Intermediate career pathways, simplifying complex government welfare eligibility into a 30-second mobile quiz, and instilling practical cyber safety against online fraud, VidyaUday provides an end-to-end guidance bridge for rural learners.</w:t>
      </w:r>
    </w:p>
    <w:p>
      <w:pPr>
        <w:spacing w:before="240" w:after="120" w:line="276" w:lineRule="auto"/>
        <w:jc w:val="left"/>
      </w:pPr>
      <w:r>
        <w:rPr>
          <w:rFonts w:ascii="Times New Roman" w:hAnsi="Times New Roman"/>
          <w:b/>
          <w:color w:val="000000"/>
          <w:sz w:val="28"/>
        </w:rPr>
        <w:t>9.2 Alignment with MVGR Community Service Project (CSP) Mandates</w:t>
      </w:r>
    </w:p>
    <w:p>
      <w:pPr>
        <w:spacing w:line="240" w:lineRule="auto" w:after="120" w:before="0"/>
        <w:jc w:val="both"/>
      </w:pPr>
      <w:r>
        <w:rPr>
          <w:rFonts w:ascii="Times New Roman" w:hAnsi="Times New Roman"/>
          <w:color w:val="000000"/>
          <w:sz w:val="24"/>
        </w:rPr>
        <w:t>Developed under the R24 academic regulations by Batch 3 students in the Department of Data Engineering at Maharaj Vijayaram Gajapathi Raj College of Engineering (Autonomous), VidyaUday directly fulfills the institutional vision of applying computational engineering to solve real-world societal problems. By eliminating commercial cyber café exploitation and fostering autonomous digital literacy, the project establishes an impactful, sustainable, and scalable contribution to community development.</w:t>
      </w:r>
    </w:p>
    <w:p>
      <w:pPr>
        <w:spacing w:before="360" w:after="240" w:line="276" w:lineRule="auto"/>
        <w:jc w:val="center"/>
      </w:pPr>
      <w:r>
        <w:rPr>
          <w:rFonts w:ascii="Times New Roman" w:hAnsi="Times New Roman"/>
          <w:b/>
          <w:color w:val="000000"/>
          <w:sz w:val="32"/>
        </w:rPr>
        <w:t>CHAPTER 10: FUTURE WORK</w:t>
      </w:r>
    </w:p>
    <w:p>
      <w:pPr>
        <w:spacing w:before="240" w:after="120" w:line="276" w:lineRule="auto"/>
        <w:jc w:val="left"/>
      </w:pPr>
      <w:r>
        <w:rPr>
          <w:rFonts w:ascii="Times New Roman" w:hAnsi="Times New Roman"/>
          <w:b/>
          <w:color w:val="000000"/>
          <w:sz w:val="28"/>
        </w:rPr>
        <w:t>10.1 Native Android Application &amp; PWA App Store Deployment</w:t>
      </w:r>
    </w:p>
    <w:p>
      <w:pPr>
        <w:spacing w:line="240" w:lineRule="auto" w:after="120" w:before="0"/>
        <w:jc w:val="both"/>
      </w:pPr>
      <w:r>
        <w:rPr>
          <w:rFonts w:ascii="Times New Roman" w:hAnsi="Times New Roman"/>
          <w:color w:val="000000"/>
          <w:sz w:val="24"/>
        </w:rPr>
        <w:t>While VidyaUday functions as a fully offline-capable Progressive Web App, future iterations will package the codebase via Trusted Web Activities (TWA) for direct publishing on the Google Play Store, enabling one-tap installation on government school tablets.</w:t>
      </w:r>
    </w:p>
    <w:p>
      <w:pPr>
        <w:spacing w:before="240" w:after="120" w:line="276" w:lineRule="auto"/>
        <w:jc w:val="left"/>
      </w:pPr>
      <w:r>
        <w:rPr>
          <w:rFonts w:ascii="Times New Roman" w:hAnsi="Times New Roman"/>
          <w:b/>
          <w:color w:val="000000"/>
          <w:sz w:val="28"/>
        </w:rPr>
        <w:t>10.2 Fine-Tuned Regional Telugu Dialect Language Models</w:t>
      </w:r>
    </w:p>
    <w:p>
      <w:pPr>
        <w:spacing w:line="240" w:lineRule="auto" w:after="120" w:before="0"/>
        <w:jc w:val="both"/>
      </w:pPr>
      <w:r>
        <w:rPr>
          <w:rFonts w:ascii="Times New Roman" w:hAnsi="Times New Roman"/>
          <w:color w:val="000000"/>
          <w:sz w:val="24"/>
        </w:rPr>
        <w:t>Future enhancements will explore fine-tuning lightweight, quantized open-source Large Language Models (such as LLaMA-3 8B or Gemma 2B) specifically on regional North Coastal Andhra and Telangana Telugu idioms, ensuring even more natural conversational resonance.</w:t>
      </w:r>
    </w:p>
    <w:p>
      <w:pPr>
        <w:spacing w:before="240" w:after="120" w:line="276" w:lineRule="auto"/>
        <w:jc w:val="left"/>
      </w:pPr>
      <w:r>
        <w:rPr>
          <w:rFonts w:ascii="Times New Roman" w:hAnsi="Times New Roman"/>
          <w:b/>
          <w:color w:val="000000"/>
          <w:sz w:val="28"/>
        </w:rPr>
        <w:t>10.3 Automated WhatsApp Scholarship Alert &amp; Deadline Notification Bot</w:t>
      </w:r>
    </w:p>
    <w:p>
      <w:pPr>
        <w:spacing w:line="240" w:lineRule="auto" w:after="120" w:before="0"/>
        <w:jc w:val="both"/>
      </w:pPr>
      <w:r>
        <w:rPr>
          <w:rFonts w:ascii="Times New Roman" w:hAnsi="Times New Roman"/>
          <w:color w:val="000000"/>
          <w:sz w:val="24"/>
        </w:rPr>
        <w:t>Integrating the WhatsApp Business Cloud API will enable an opt-in broadcast system that alerts rural students regarding approaching scholarship deadlines (e.g., JVD biometric dates, NMMS application windows) directly on their parents' messaging apps.</w:t>
      </w:r>
    </w:p>
    <w:p>
      <w:pPr>
        <w:spacing w:before="240" w:after="120" w:line="276" w:lineRule="auto"/>
        <w:jc w:val="left"/>
      </w:pPr>
      <w:r>
        <w:rPr>
          <w:rFonts w:ascii="Times New Roman" w:hAnsi="Times New Roman"/>
          <w:b/>
          <w:color w:val="000000"/>
          <w:sz w:val="28"/>
        </w:rPr>
        <w:t>10.4 Expansion to Vocational, ITI &amp; Rural Entrepreneurship Guidance Modules</w:t>
      </w:r>
    </w:p>
    <w:p>
      <w:pPr>
        <w:spacing w:line="240" w:lineRule="auto" w:after="120" w:before="0"/>
        <w:jc w:val="both"/>
      </w:pPr>
      <w:r>
        <w:rPr>
          <w:rFonts w:ascii="Times New Roman" w:hAnsi="Times New Roman"/>
          <w:color w:val="000000"/>
          <w:sz w:val="24"/>
        </w:rPr>
        <w:t>Future roadmap revisions will broaden coverage to include specialized agricultural diplomas, rural artisan entrepreneurship, and green energy vocational training programs supported by the National Skill Development Corporation (NSDC).</w:t>
      </w:r>
    </w:p>
    <w:p>
      <w:r>
        <w:br w:type="page"/>
      </w:r>
    </w:p>
    <w:p>
      <w:pPr>
        <w:spacing w:before="360" w:after="240" w:line="276" w:lineRule="auto"/>
        <w:jc w:val="center"/>
      </w:pPr>
      <w:r>
        <w:rPr>
          <w:rFonts w:ascii="Times New Roman" w:hAnsi="Times New Roman"/>
          <w:b/>
          <w:color w:val="000000"/>
          <w:sz w:val="32"/>
        </w:rPr>
        <w:t>REFERENCES</w:t>
      </w:r>
    </w:p>
    <w:p>
      <w:pPr>
        <w:spacing w:line="240" w:lineRule="auto" w:after="120"/>
        <w:jc w:val="both"/>
      </w:pPr>
      <w:r>
        <w:rPr>
          <w:rFonts w:ascii="Times New Roman" w:hAnsi="Times New Roman"/>
          <w:sz w:val="22"/>
        </w:rPr>
        <w:t>[1] Ministry of Education, Government of India, "National Education Policy 2020," New Delhi, India, Jul. 2020. [Online]. Available: https://www.education.gov.in/sites/upload_files/mhrd/files/NEP_Final_English_0.pdf</w:t>
      </w:r>
    </w:p>
    <w:p>
      <w:pPr>
        <w:spacing w:line="240" w:lineRule="auto" w:after="120"/>
        <w:jc w:val="both"/>
      </w:pPr>
      <w:r>
        <w:rPr>
          <w:rFonts w:ascii="Times New Roman" w:hAnsi="Times New Roman"/>
          <w:sz w:val="22"/>
        </w:rPr>
        <w:t>[2] Pratham Education Foundation, "Annual Status of Education Report (Rural) 2023: Beyond Basics," New Delhi, India, Jan. 2024. [Online]. Available: https://www.asercentre.org</w:t>
      </w:r>
    </w:p>
    <w:p>
      <w:pPr>
        <w:spacing w:line="240" w:lineRule="auto" w:after="120"/>
        <w:jc w:val="both"/>
      </w:pPr>
      <w:r>
        <w:rPr>
          <w:rFonts w:ascii="Times New Roman" w:hAnsi="Times New Roman"/>
          <w:sz w:val="22"/>
        </w:rPr>
        <w:t>[3] Ministry of Electronics and Information Technology (MeitY), "National Scholarship Portal (NSP) Guidelines &amp; Schemes 2024–25," Government of India, 2024. [Online]. Available: https://scholarships.gov.in</w:t>
      </w:r>
    </w:p>
    <w:p>
      <w:pPr>
        <w:spacing w:line="240" w:lineRule="auto" w:after="120"/>
        <w:jc w:val="both"/>
      </w:pPr>
      <w:r>
        <w:rPr>
          <w:rFonts w:ascii="Times New Roman" w:hAnsi="Times New Roman"/>
          <w:sz w:val="22"/>
        </w:rPr>
        <w:t>[4] Department of Social Welfare, Government of Andhra Pradesh, "Jagananna Vidya Deevena &amp; Vasathi Deevena Operational Guidelines," G.O. Ms. No. 77 &amp; 115, Amaravati, Andhra Pradesh, 2020.</w:t>
      </w:r>
    </w:p>
    <w:p>
      <w:pPr>
        <w:spacing w:line="240" w:lineRule="auto" w:after="120"/>
        <w:jc w:val="both"/>
      </w:pPr>
      <w:r>
        <w:rPr>
          <w:rFonts w:ascii="Times New Roman" w:hAnsi="Times New Roman"/>
          <w:sz w:val="22"/>
        </w:rPr>
        <w:t>[5] Centre for Good Governance, Government of Telangana, "Telangana Electronic Payment and Application System of Scholarships (TS ePASS)," Hyderabad, Telangana, 2024. [Online]. Available: https://telanganaepass.cgg.gov.in</w:t>
      </w:r>
    </w:p>
    <w:p>
      <w:pPr>
        <w:spacing w:line="240" w:lineRule="auto" w:after="120"/>
        <w:jc w:val="both"/>
      </w:pPr>
      <w:r>
        <w:rPr>
          <w:rFonts w:ascii="Times New Roman" w:hAnsi="Times New Roman"/>
          <w:sz w:val="22"/>
        </w:rPr>
        <w:t>[6] Indian Cyber Crime Coordination Centre (I4C), Ministry of Home Affairs, "National Cybercrime Reporting Portal &amp; Citizen Financial Cyber Fraud Reporting Management System (Helpline 1930)," Government of India, 2024. [Online]. Available: https://cybercrime.gov.in</w:t>
      </w:r>
    </w:p>
    <w:p>
      <w:pPr>
        <w:spacing w:line="240" w:lineRule="auto" w:after="120"/>
        <w:jc w:val="both"/>
      </w:pPr>
      <w:r>
        <w:rPr>
          <w:rFonts w:ascii="Times New Roman" w:hAnsi="Times New Roman"/>
          <w:sz w:val="22"/>
        </w:rPr>
        <w:t>[7] Google DeepMind, "Gemini 1.5: Unlocking multimodal understanding across millions of tokens of context," Google Research Technical Report, 2024. [Online]. Available: https://ai.google.dev</w:t>
      </w:r>
    </w:p>
    <w:p>
      <w:pPr>
        <w:spacing w:line="240" w:lineRule="auto" w:after="120"/>
        <w:jc w:val="both"/>
      </w:pPr>
      <w:r>
        <w:rPr>
          <w:rFonts w:ascii="Times New Roman" w:hAnsi="Times New Roman"/>
          <w:sz w:val="22"/>
        </w:rPr>
        <w:t>[8] W3C Web Real-Time Communications Working Group, "Web Speech API Specification," W3C Community Group Report, Aug. 2020. [Online]. Available: https://wicg.github.io/speech-api/</w:t>
      </w:r>
    </w:p>
    <w:p>
      <w:pPr>
        <w:spacing w:line="240" w:lineRule="auto" w:after="120"/>
        <w:jc w:val="both"/>
      </w:pPr>
      <w:r>
        <w:rPr>
          <w:rFonts w:ascii="Times New Roman" w:hAnsi="Times New Roman"/>
          <w:sz w:val="22"/>
        </w:rPr>
        <w:t>[9] Mozilla Developer Network (MDN), "Service Worker API and Progressive Web Apps (PWA) Offline Architecture," MDN Web Docs, 2024. [Online]. Available: https://developer.mozilla.org/en-US/docs/Web/API/Service_Worker_API</w:t>
      </w:r>
    </w:p>
    <w:p>
      <w:pPr>
        <w:spacing w:line="240" w:lineRule="auto" w:after="120"/>
        <w:jc w:val="both"/>
      </w:pPr>
      <w:r>
        <w:rPr>
          <w:rFonts w:ascii="Times New Roman" w:hAnsi="Times New Roman"/>
          <w:sz w:val="22"/>
        </w:rPr>
        <w:t>[10] National Council of Educational Research and Training (NCERT), "Digitized Textbooks and Learning Materials for Secondary Schools," Ministry of Education, 2024. [Online]. Available: https://ncert.nic.in</w:t>
      </w:r>
    </w:p>
    <w:p>
      <w:pPr>
        <w:spacing w:line="240" w:lineRule="auto" w:after="120"/>
        <w:jc w:val="both"/>
      </w:pPr>
      <w:r>
        <w:rPr>
          <w:rFonts w:ascii="Times New Roman" w:hAnsi="Times New Roman"/>
          <w:sz w:val="22"/>
        </w:rPr>
        <w:t>[11] All India Council for Technical Education (AICTE), "Pragati Scholarship Scheme for Girl Students (Degree and Diploma)," Ministry of Education, New Delhi, 2024. [Online]. Available: https://www.aicte-india.org</w:t>
      </w:r>
    </w:p>
    <w:p>
      <w:pPr>
        <w:spacing w:line="240" w:lineRule="auto" w:after="120"/>
        <w:jc w:val="both"/>
      </w:pPr>
      <w:r>
        <w:rPr>
          <w:rFonts w:ascii="Times New Roman" w:hAnsi="Times New Roman"/>
          <w:sz w:val="22"/>
        </w:rPr>
        <w:t>[12] J. Nielsen and H. Loranger, "Prioritizing Web Usability," New Riders Press, Berkeley, CA, USA, 2006.</w:t>
      </w:r>
    </w:p>
    <w:p>
      <w:r>
        <w:br w:type="page"/>
      </w:r>
    </w:p>
    <w:p>
      <w:pPr>
        <w:spacing w:before="360" w:after="240" w:line="276" w:lineRule="auto"/>
        <w:jc w:val="center"/>
      </w:pPr>
      <w:r>
        <w:rPr>
          <w:rFonts w:ascii="Times New Roman" w:hAnsi="Times New Roman"/>
          <w:b/>
          <w:color w:val="000000"/>
          <w:sz w:val="32"/>
        </w:rPr>
        <w:t>APPENDIX A: PACKAGES, TOOLS USED &amp; WORKING PROCESS</w:t>
      </w:r>
    </w:p>
    <w:p>
      <w:pPr>
        <w:spacing w:before="240" w:after="120" w:line="276" w:lineRule="auto"/>
        <w:jc w:val="left"/>
      </w:pPr>
      <w:r>
        <w:rPr>
          <w:rFonts w:ascii="Times New Roman" w:hAnsi="Times New Roman"/>
          <w:b/>
          <w:color w:val="000000"/>
          <w:sz w:val="28"/>
        </w:rPr>
        <w:t>A.1 Packages &amp; Tools Used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770"/>
        <w:gridCol w:w="2770"/>
        <w:gridCol w:w="2770"/>
      </w:tblGrid>
      <w:tr>
        <w:tc>
          <w:tcPr>
            <w:tcW w:type="dxa" w:w="2592"/>
            <w:shd w:fill="EAEFF5"/>
            <w:tcMar>
              <w:top w:w="120" w:type="dxa"/>
              <w:bottom w:w="120" w:type="dxa"/>
              <w:left w:w="140" w:type="dxa"/>
              <w:right w:w="140" w:type="dxa"/>
            </w:tcMar>
          </w:tcPr>
          <w:p>
            <w:pPr>
              <w:spacing w:line="276" w:lineRule="auto" w:after="0" w:before="0"/>
              <w:jc w:val="center"/>
            </w:pPr>
            <w:r>
              <w:t>Category</w:t>
            </w:r>
          </w:p>
        </w:tc>
        <w:tc>
          <w:tcPr>
            <w:tcW w:type="dxa" w:w="3168"/>
            <w:shd w:fill="EAEFF5"/>
            <w:tcMar>
              <w:top w:w="120" w:type="dxa"/>
              <w:bottom w:w="120" w:type="dxa"/>
              <w:left w:w="140" w:type="dxa"/>
              <w:right w:w="140" w:type="dxa"/>
            </w:tcMar>
          </w:tcPr>
          <w:p>
            <w:pPr>
              <w:spacing w:line="276" w:lineRule="auto" w:after="0" w:before="0"/>
              <w:jc w:val="center"/>
            </w:pPr>
            <w:r>
              <w:t>Technology / Package</w:t>
            </w:r>
          </w:p>
        </w:tc>
        <w:tc>
          <w:tcPr>
            <w:tcW w:type="dxa" w:w="2880"/>
            <w:shd w:fill="EAEFF5"/>
            <w:tcMar>
              <w:top w:w="120" w:type="dxa"/>
              <w:bottom w:w="120" w:type="dxa"/>
              <w:left w:w="140" w:type="dxa"/>
              <w:right w:w="140" w:type="dxa"/>
            </w:tcMar>
          </w:tcPr>
          <w:p>
            <w:pPr>
              <w:spacing w:line="276" w:lineRule="auto" w:after="0" w:before="0"/>
              <w:jc w:val="center"/>
            </w:pPr>
            <w:r>
              <w:t>Specific Implementation Role</w:t>
            </w:r>
          </w:p>
        </w:tc>
      </w:tr>
      <w:tr>
        <w:tc>
          <w:tcPr>
            <w:tcW w:type="dxa" w:w="2770"/>
          </w:tcPr>
          <w:p>
            <w:r>
              <w:rPr>
                <w:b/>
              </w:rPr>
              <w:t>Frontend Architecture</w:t>
            </w:r>
          </w:p>
        </w:tc>
        <w:tc>
          <w:tcPr>
            <w:tcW w:type="dxa" w:w="2770"/>
          </w:tcPr>
          <w:p>
            <w:r>
              <w:t>HTML5 &amp; Vanilla CSS3</w:t>
            </w:r>
          </w:p>
        </w:tc>
        <w:tc>
          <w:tcPr>
            <w:tcW w:type="dxa" w:w="2770"/>
          </w:tcPr>
          <w:p>
            <w:r>
              <w:t>Semantic structure, responsive flexbox and CSS grid layouts</w:t>
            </w:r>
          </w:p>
        </w:tc>
      </w:tr>
      <w:tr>
        <w:tc>
          <w:tcPr>
            <w:tcW w:type="dxa" w:w="2770"/>
          </w:tcPr>
          <w:p>
            <w:r>
              <w:rPr>
                <w:b/>
              </w:rPr>
              <w:t>Client Logic</w:t>
            </w:r>
          </w:p>
        </w:tc>
        <w:tc>
          <w:tcPr>
            <w:tcW w:type="dxa" w:w="2770"/>
          </w:tcPr>
          <w:p>
            <w:r>
              <w:t>Modern ECMAScript (Vanilla JS)</w:t>
            </w:r>
          </w:p>
        </w:tc>
        <w:tc>
          <w:tcPr>
            <w:tcW w:type="dxa" w:w="2770"/>
          </w:tcPr>
          <w:p>
            <w:r>
              <w:t>Decision rule evaluation, DOM updates, local caching</w:t>
            </w:r>
          </w:p>
        </w:tc>
      </w:tr>
      <w:tr>
        <w:tc>
          <w:tcPr>
            <w:tcW w:type="dxa" w:w="2770"/>
          </w:tcPr>
          <w:p>
            <w:r>
              <w:rPr>
                <w:b/>
              </w:rPr>
              <w:t>Conversational AI</w:t>
            </w:r>
          </w:p>
        </w:tc>
        <w:tc>
          <w:tcPr>
            <w:tcW w:type="dxa" w:w="2770"/>
          </w:tcPr>
          <w:p>
            <w:r>
              <w:t>Google Gemini 1.5 Flash API</w:t>
            </w:r>
          </w:p>
        </w:tc>
        <w:tc>
          <w:tcPr>
            <w:tcW w:type="dxa" w:w="2770"/>
          </w:tcPr>
          <w:p>
            <w:r>
              <w:t>RESTful multimodal bilingual query comprehension</w:t>
            </w:r>
          </w:p>
        </w:tc>
      </w:tr>
      <w:tr>
        <w:tc>
          <w:tcPr>
            <w:tcW w:type="dxa" w:w="2770"/>
          </w:tcPr>
          <w:p>
            <w:r>
              <w:rPr>
                <w:b/>
              </w:rPr>
              <w:t>Voice Interface</w:t>
            </w:r>
          </w:p>
        </w:tc>
        <w:tc>
          <w:tcPr>
            <w:tcW w:type="dxa" w:w="2770"/>
          </w:tcPr>
          <w:p>
            <w:r>
              <w:t>W3C Web Speech API</w:t>
            </w:r>
          </w:p>
        </w:tc>
        <w:tc>
          <w:tcPr>
            <w:tcW w:type="dxa" w:w="2770"/>
          </w:tcPr>
          <w:p>
            <w:r>
              <w:t>Bilingual voice recognition (STT) and speech synthesis (TTS)</w:t>
            </w:r>
          </w:p>
        </w:tc>
      </w:tr>
      <w:tr>
        <w:tc>
          <w:tcPr>
            <w:tcW w:type="dxa" w:w="2770"/>
          </w:tcPr>
          <w:p>
            <w:r>
              <w:rPr>
                <w:b/>
              </w:rPr>
              <w:t>Offline Engine</w:t>
            </w:r>
          </w:p>
        </w:tc>
        <w:tc>
          <w:tcPr>
            <w:tcW w:type="dxa" w:w="2770"/>
          </w:tcPr>
          <w:p>
            <w:r>
              <w:t>Service Worker v6 (PWA)</w:t>
            </w:r>
          </w:p>
        </w:tc>
        <w:tc>
          <w:tcPr>
            <w:tcW w:type="dxa" w:w="2770"/>
          </w:tcPr>
          <w:p>
            <w:r>
              <w:t>Pre-caching and stale-while-revalidate offline serving</w:t>
            </w:r>
          </w:p>
        </w:tc>
      </w:tr>
      <w:tr>
        <w:tc>
          <w:tcPr>
            <w:tcW w:type="dxa" w:w="2770"/>
          </w:tcPr>
          <w:p>
            <w:r>
              <w:rPr>
                <w:b/>
              </w:rPr>
              <w:t>Development Environment</w:t>
            </w:r>
          </w:p>
        </w:tc>
        <w:tc>
          <w:tcPr>
            <w:tcW w:type="dxa" w:w="2770"/>
          </w:tcPr>
          <w:p>
            <w:r>
              <w:t>Visual Studio Code</w:t>
            </w:r>
          </w:p>
        </w:tc>
        <w:tc>
          <w:tcPr>
            <w:tcW w:type="dxa" w:w="2770"/>
          </w:tcPr>
          <w:p>
            <w:r>
              <w:t>Integrated code editing, debugging, and asset management</w:t>
            </w:r>
          </w:p>
        </w:tc>
      </w:tr>
      <w:tr>
        <w:tc>
          <w:tcPr>
            <w:tcW w:type="dxa" w:w="2770"/>
          </w:tcPr>
          <w:p>
            <w:r>
              <w:rPr>
                <w:b/>
              </w:rPr>
              <w:t>Version Control</w:t>
            </w:r>
          </w:p>
        </w:tc>
        <w:tc>
          <w:tcPr>
            <w:tcW w:type="dxa" w:w="2770"/>
          </w:tcPr>
          <w:p>
            <w:r>
              <w:t>Git &amp; GitHub Repository</w:t>
            </w:r>
          </w:p>
        </w:tc>
        <w:tc>
          <w:tcPr>
            <w:tcW w:type="dxa" w:w="2770"/>
          </w:tcPr>
          <w:p>
            <w:r>
              <w:t>Source code management, version control, and team collaboration</w:t>
            </w:r>
          </w:p>
        </w:tc>
      </w:tr>
      <w:tr>
        <w:tc>
          <w:tcPr>
            <w:tcW w:type="dxa" w:w="2770"/>
          </w:tcPr>
          <w:p>
            <w:r>
              <w:rPr>
                <w:b/>
              </w:rPr>
              <w:t>Automated Testing</w:t>
            </w:r>
          </w:p>
        </w:tc>
        <w:tc>
          <w:tcPr>
            <w:tcW w:type="dxa" w:w="2770"/>
          </w:tcPr>
          <w:p>
            <w:r>
              <w:t>Puppeteer-Core &amp; Node.js</w:t>
            </w:r>
          </w:p>
        </w:tc>
        <w:tc>
          <w:tcPr>
            <w:tcW w:type="dxa" w:w="2770"/>
          </w:tcPr>
          <w:p>
            <w:r>
              <w:t>Headless browser validation, responsiveness and screenshot audits</w:t>
            </w:r>
          </w:p>
        </w:tc>
      </w:tr>
    </w:tbl>
    <w:p>
      <w:pPr>
        <w:spacing w:before="240" w:after="120" w:line="276" w:lineRule="auto"/>
        <w:jc w:val="left"/>
      </w:pPr>
      <w:r>
        <w:rPr>
          <w:rFonts w:ascii="Times New Roman" w:hAnsi="Times New Roman"/>
          <w:b/>
          <w:color w:val="000000"/>
          <w:sz w:val="28"/>
        </w:rPr>
        <w:t>A.2 Working Process</w:t>
      </w:r>
    </w:p>
    <w:p>
      <w:pPr>
        <w:spacing w:line="240" w:lineRule="auto" w:after="120" w:before="0"/>
        <w:jc w:val="both"/>
      </w:pPr>
      <w:r>
        <w:rPr>
          <w:rFonts w:ascii="Times New Roman" w:hAnsi="Times New Roman"/>
          <w:color w:val="000000"/>
          <w:sz w:val="24"/>
        </w:rPr>
        <w:t>The VidyaUday project followed a structured four-phase engineering methodology aligned with academic milestones:</w:t>
        <w:br/>
        <w:t>1. Phase 1 - Problem Identification &amp; Field Survey: Empirical surveys in Vizianagaram district high schools assessing student career confusion, cyber café costs, and AI awareness.</w:t>
        <w:br/>
        <w:t>2. Phase 2 - Data Normalization &amp; Verification: Comprehensive collection and extraction of criteria from official AP/TS welfare gazettes, SCERT textbook syllabi, and curated student AI prompts.</w:t>
        <w:br/>
        <w:t>3. Phase 3 - Architecture &amp; Implementation: Development of the 4-layer client-first architecture, integrating Google Gemini 1.5 Flash API, Web Speech API, and Service Worker v6 offline caching.</w:t>
        <w:br/>
        <w:t>4. Phase 4 - Testing, UI Alignment &amp; Panel Validation: Thorough cross-device testing, resolution of navbar alignment offsets, offline mode simulation, and preparation of documentation and presentations.</w:t>
      </w:r>
    </w:p>
    <w:p>
      <w:r>
        <w:br w:type="page"/>
      </w:r>
    </w:p>
    <w:p>
      <w:pPr>
        <w:spacing w:before="360" w:after="240" w:line="276" w:lineRule="auto"/>
        <w:jc w:val="center"/>
      </w:pPr>
      <w:r>
        <w:rPr>
          <w:rFonts w:ascii="Times New Roman" w:hAnsi="Times New Roman"/>
          <w:b/>
          <w:color w:val="000000"/>
          <w:sz w:val="32"/>
        </w:rPr>
        <w:t>APPENDIX B: KEY SOURCE CODE</w:t>
      </w:r>
    </w:p>
    <w:p>
      <w:pPr>
        <w:spacing w:before="240" w:after="120" w:line="276" w:lineRule="auto"/>
        <w:jc w:val="left"/>
      </w:pPr>
      <w:r>
        <w:rPr>
          <w:rFonts w:ascii="Times New Roman" w:hAnsi="Times New Roman"/>
          <w:b/>
          <w:color w:val="000000"/>
          <w:sz w:val="28"/>
        </w:rPr>
        <w:t>B.1 Service Worker v6 Caching Engine (sw.js)</w:t>
      </w:r>
    </w:p>
    <w:p>
      <w:pPr>
        <w:spacing w:line="240" w:lineRule="auto" w:after="160"/>
      </w:pPr>
      <w:r>
        <w:rPr>
          <w:rFonts w:ascii="Courier New" w:hAnsi="Courier New"/>
          <w:sz w:val="19"/>
        </w:rPr>
        <w:t>// VidyaUday Service Worker v6 — 100% Offline Capability</w:t>
        <w:br/>
        <w:t>const CACHE_NAME = 'vidyauday-v6';</w:t>
        <w:br/>
        <w:t>const CORE_URLS = ['./', './index.html', './manifest.json', './icon-192.png', './icon-512.png'];</w:t>
        <w:br/>
        <w:br/>
        <w:t>self.addEventListener('install', event =&gt; {</w:t>
        <w:br/>
        <w:t xml:space="preserve">  event.waitUntil(</w:t>
        <w:br/>
        <w:t xml:space="preserve">    caches.open(CACHE_NAME).then(cache =&gt; cache.addAll(CORE_URLS))</w:t>
        <w:br/>
        <w:t xml:space="preserve">  );</w:t>
        <w:br/>
        <w:t xml:space="preserve">  self.skipWaiting();</w:t>
        <w:br/>
        <w:t>});</w:t>
        <w:br/>
        <w:br/>
        <w:t>self.addEventListener('fetch', event =&gt; {</w:t>
        <w:br/>
        <w:t xml:space="preserve">  if (event.request.url.includes('generativelanguage.googleapis.com')) return;</w:t>
        <w:br/>
        <w:t xml:space="preserve">  if (event.request.method !== 'GET') return;</w:t>
        <w:br/>
        <w:br/>
        <w:t xml:space="preserve">  event.respondWith(</w:t>
        <w:br/>
        <w:t xml:space="preserve">    caches.match(event.request).then(cached =&gt; {</w:t>
        <w:br/>
        <w:t xml:space="preserve">      if (cached) {</w:t>
        <w:br/>
        <w:t xml:space="preserve">        fetch(event.request).then(res =&gt; {</w:t>
        <w:br/>
        <w:t xml:space="preserve">          if (res &amp;&amp; res.ok) caches.open(CACHE_NAME).then(c =&gt; c.put(event.request, res));</w:t>
        <w:br/>
        <w:t xml:space="preserve">        }).catch(() =&gt; {});</w:t>
        <w:br/>
        <w:t xml:space="preserve">        return cached;</w:t>
        <w:br/>
        <w:t xml:space="preserve">      }</w:t>
        <w:br/>
        <w:t xml:space="preserve">      return fetch(event.request).catch(() =&gt; {</w:t>
        <w:br/>
        <w:t xml:space="preserve">        if (event.request.mode === 'navigate') return caches.match('./index.html');</w:t>
        <w:br/>
        <w:t xml:space="preserve">      });</w:t>
        <w:br/>
        <w:t xml:space="preserve">    })</w:t>
        <w:br/>
        <w:t xml:space="preserve">  );</w:t>
        <w:br/>
        <w:t>});</w:t>
      </w:r>
    </w:p>
    <w:p>
      <w:pPr>
        <w:spacing w:before="240" w:after="120" w:line="276" w:lineRule="auto"/>
        <w:jc w:val="left"/>
      </w:pPr>
      <w:r>
        <w:rPr>
          <w:rFonts w:ascii="Times New Roman" w:hAnsi="Times New Roman"/>
          <w:b/>
          <w:color w:val="000000"/>
          <w:sz w:val="28"/>
        </w:rPr>
        <w:t>B.2 Client-Side Scholarship Decision Rule Evaluator</w:t>
      </w:r>
    </w:p>
    <w:p>
      <w:pPr>
        <w:spacing w:line="240" w:lineRule="auto" w:after="160"/>
      </w:pPr>
      <w:r>
        <w:rPr>
          <w:rFonts w:ascii="Courier New" w:hAnsi="Courier New"/>
          <w:sz w:val="19"/>
        </w:rPr>
        <w:t>function evaluateEligibility(profile, schemes) {</w:t>
        <w:br/>
        <w:t xml:space="preserve">  return schemes.filter(scheme =&gt; {</w:t>
        <w:br/>
        <w:t xml:space="preserve">    const rules = scheme.eligRules;</w:t>
        <w:br/>
        <w:t xml:space="preserve">    if (!rules) return true;</w:t>
        <w:br/>
        <w:t xml:space="preserve">    // Class level match</w:t>
        <w:br/>
        <w:t xml:space="preserve">    const classMatch = !rules.classes || rules.classes.includes(profile.class);</w:t>
        <w:br/>
        <w:t xml:space="preserve">    // State match</w:t>
        <w:br/>
        <w:t xml:space="preserve">    const stateMatch = !rules.states || rules.states.includes(profile.state) || rules.states.includes('other');</w:t>
        <w:br/>
        <w:t xml:space="preserve">    // Caste / Social Category match</w:t>
        <w:br/>
        <w:t xml:space="preserve">    const casteMatch = !rules.castes || rules.castes.includes(profile.caste);</w:t>
        <w:br/>
        <w:t xml:space="preserve">    // Gender match</w:t>
        <w:br/>
        <w:t xml:space="preserve">    const genderMatch = !rules.gender || rules.gender === 'all' || rules.gender === profile.gender;</w:t>
        <w:br/>
        <w:t xml:space="preserve">    return classMatch &amp;&amp; stateMatch &amp;&amp; casteMatch &amp;&amp; genderMatch;</w:t>
        <w:br/>
        <w:t xml:space="preserve">  });</w:t>
        <w:br/>
        <w:t>}</w:t>
      </w:r>
    </w:p>
    <w:p>
      <w:r>
        <w:br w:type="page"/>
      </w:r>
    </w:p>
    <w:p>
      <w:pPr>
        <w:spacing w:before="360" w:after="240" w:line="276" w:lineRule="auto"/>
        <w:jc w:val="center"/>
      </w:pPr>
      <w:r>
        <w:rPr>
          <w:rFonts w:ascii="Times New Roman" w:hAnsi="Times New Roman"/>
          <w:b/>
          <w:color w:val="000000"/>
          <w:sz w:val="32"/>
        </w:rPr>
        <w:t>PAPER PUBLICATIONS (IF ANY)</w:t>
      </w:r>
    </w:p>
    <w:p>
      <w:pPr>
        <w:spacing w:line="240" w:lineRule="auto" w:after="120" w:before="0"/>
        <w:jc w:val="both"/>
      </w:pPr>
      <w:r>
        <w:rPr>
          <w:rFonts w:ascii="Times New Roman" w:hAnsi="Times New Roman"/>
          <w:color w:val="000000"/>
          <w:sz w:val="24"/>
        </w:rPr>
        <w:t>Manuscript under preparation for submission to the National Conference on Emerging Trends in Artificial Intelligence and Community Informatics (NCETAI-2026):</w:t>
        <w:br/>
        <w:br/>
        <w:t>Title: "VidyaUday: A Client-First Vernacular Progressive Web Platform for Democratizing Career Guidance and AI Literacy in Rural Communities"</w:t>
        <w:br/>
        <w:br/>
        <w:t>Authors: K. Ramanadh, R. Harsha Vardhan, C. Sai Teja, V. V. Satyanarayana, and Mrs. G. Lalitha.</w:t>
        <w:br/>
        <w:br/>
        <w:t>Affiliation: Department of Data Engineering, Maharaj Vijayaram Gajapathi Raj College of Engineering (Autonomous), Vizianagaram, Andhra Pradesh.</w:t>
      </w:r>
    </w:p>
    <w:sectPr w:rsidR="00FC693F" w:rsidRPr="0006063C" w:rsidSect="00034616">
      <w:pgSz w:w="11909" w:h="16834"/>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jc w:val="both"/>
    </w:pPr>
    <w:rPr>
      <w:rFonts w:ascii="Times New Roman" w:hAnsi="Times New Roman"/>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