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BASML vs 7 Peers – Full Financial Statement Compression</w:t>
      </w:r>
    </w:p>
    <w:p>
      <w:pPr>
        <w:pStyle w:val="Heading2"/>
      </w:pPr>
      <w:r>
        <w:t>1. Profit &amp; Loss Compression</w:t>
      </w:r>
    </w:p>
    <w:p>
      <w:r>
        <w:t>- BASML: Revenue ₹887 Cr, EBITDA ₹67 Cr (7.6%), Net Profit ₹7 Cr (0.8%).</w:t>
      </w:r>
    </w:p>
    <w:p>
      <w:r>
        <w:t>- Peers: KPR (20.4% margin), Vardhman (13.4%), Nitin (14.4%), Arvind (10.7%), Sutlej (1–2%).</w:t>
      </w:r>
    </w:p>
    <w:p>
      <w:pPr>
        <w:pStyle w:val="Heading2"/>
      </w:pPr>
      <w:r>
        <w:t>2. Balance Sheet Compression</w:t>
      </w:r>
    </w:p>
    <w:p>
      <w:r>
        <w:t>- BASML Total Assets ₹101,378 Mn – among highest.</w:t>
      </w:r>
    </w:p>
    <w:p>
      <w:r>
        <w:t>- Net Worth ₹4,100 Mn – lowest among peers.</w:t>
      </w:r>
    </w:p>
    <w:p>
      <w:r>
        <w:t>- Debt/Equity 1.74 – highest leverage.</w:t>
      </w:r>
    </w:p>
    <w:p>
      <w:r>
        <w:t>- Peers: Vardhman NW ₹98,875 Mn, D/E 0.10.</w:t>
      </w:r>
    </w:p>
    <w:p>
      <w:pPr>
        <w:pStyle w:val="Heading2"/>
      </w:pPr>
      <w:r>
        <w:t>3. Cash Flow Compression</w:t>
      </w:r>
    </w:p>
    <w:p>
      <w:r>
        <w:t>- BASML OCF ₹380 Mn – lowest in peer set.</w:t>
      </w:r>
    </w:p>
    <w:p>
      <w:r>
        <w:t>- Peers: Vardhman ₹16,438 Mn, KPR ₹10,240 Mn.</w:t>
      </w:r>
    </w:p>
    <w:p>
      <w:r>
        <w:t>- BASML cash dropped from ₹787 Mn → ₹321 Mn.</w:t>
      </w:r>
    </w:p>
    <w:p>
      <w:pPr>
        <w:pStyle w:val="Heading2"/>
      </w:pPr>
      <w:r>
        <w:t>4. Ratio Compression</w:t>
      </w:r>
    </w:p>
    <w:p>
      <w:r>
        <w:t>- ROE: BASML -0.5% vs Peer Avg 6.7%.</w:t>
      </w:r>
    </w:p>
    <w:p>
      <w:r>
        <w:t>- ROCE: BASML 4.5% vs Peer Avg 10.9%.</w:t>
      </w:r>
    </w:p>
    <w:p>
      <w:r>
        <w:t>- Current Ratio: BASML 1.2 vs Peer Avg 2.7.</w:t>
      </w:r>
    </w:p>
    <w:p>
      <w:r>
        <w:t>- EPS: BASML -0.3 vs Ambika 114.7.</w:t>
      </w:r>
    </w:p>
    <w:p>
      <w:pPr>
        <w:pStyle w:val="Heading2"/>
      </w:pPr>
      <w:r>
        <w:t>5. Other KPIs</w:t>
      </w:r>
    </w:p>
    <w:p>
      <w:r>
        <w:t>- Asset Turnover low relative to asset base.</w:t>
      </w:r>
    </w:p>
    <w:p>
      <w:r>
        <w:t>- OCF/Debt extremely weak.</w:t>
      </w:r>
    </w:p>
    <w:p>
      <w:r>
        <w:t>- Working-capital heavy structure vs peers.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