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ai-3/26</w:t>
      </w:r>
    </w:p>
    <w:p>
      <w:pPr>
        <w:pStyle w:val="Title"/>
      </w:pPr>
      <w:r>
        <w:t>Evaluation Sets</w:t>
      </w:r>
    </w:p>
    <w:p>
      <w:r>
        <w:t>Project: Verified Study Buddy</w:t>
      </w:r>
    </w:p>
    <w:p>
      <w:pPr>
        <w:pStyle w:val="Heading1"/>
      </w:pPr>
      <w:r>
        <w:t>Freeze the cases. Score the behavior. Inspect the gaps.</w:t>
      </w:r>
    </w:p>
    <w:p>
      <w:r>
        <w:t>Evaluate answerable and missing-evidence behavior without hiding failures in a pooled rate.</w:t>
      </w:r>
    </w:p>
    <w:p>
      <w:r>
        <w:t>Case contract → six-case mixture change → complete ten-case practice → coverage audit → independent club gaps.</w:t>
      </w:r>
    </w:p>
    <w:p>
      <w:pPr>
        <w:pStyle w:val="Heading1"/>
      </w:pPr>
      <w:r>
        <w:t>01. Which cases would expose a failure that an easy example hides?</w:t>
      </w:r>
    </w:p>
    <w:p>
      <w:r>
        <w:t>Separate case coverage, group outcomes and pooled totals.</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system </w:t>
      </w:r>
      <w:r>
        <w:rPr>
          <w:b/>
        </w:rPr>
        <w:t>evaluation set</w:t>
      </w:r>
      <w:r>
        <w:rPr>
          <w:b w:val="0"/>
        </w:rPr>
        <w: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criteria and ranking limits</w:t>
      </w:r>
    </w:p>
    <w:p>
      <w:pPr>
        <w:pStyle w:val="ListBullet"/>
      </w:pPr>
      <w:r>
        <w:t>Close your notes first. A rough first answer helps us choose the right starting point; it is not a score for your ability.</w:t>
      </w:r>
    </w:p>
    <w:p>
      <w:pPr>
        <w:pStyle w:val="ListBullet"/>
      </w:pPr>
      <w:r>
        <w:t>Recall Quality Rubrics: declare observable criteria and mandatory gates before inspecting outputs. Record each case’s evidence rather than treating a total as a complete quality judgement.</w:t>
      </w:r>
    </w:p>
    <w:p>
      <w:pPr>
        <w:pStyle w:val="ListBullet"/>
      </w:pPr>
      <w:r>
        <w:t>Recall Week 18’s retrieval extension: a ranking score is not relevance or source truth. This week’s optional extension gives explicit judged sets and cutoffs for precision and recall.</w:t>
      </w:r>
    </w:p>
    <w:p>
      <w:pPr>
        <w:pStyle w:val="Heading2"/>
      </w:pPr>
      <w:r>
        <w:t>Your end goal</w:t>
      </w:r>
    </w:p>
    <w:p>
      <w:pPr>
        <w:spacing w:line="336" w:lineRule="auto" w:after="180"/>
      </w:pPr>
      <w:r>
        <w:rPr>
          <w:b w:val="0"/>
        </w:rPr>
        <w:t xml:space="preserve">By the end, I can explain </w:t>
      </w:r>
      <w:r>
        <w:rPr>
          <w:b/>
        </w:rPr>
        <w:t>evaluation set</w:t>
      </w:r>
      <w:r>
        <w:rPr>
          <w:b w:val="0"/>
        </w:rPr>
        <w: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Quality Rubrics. Give an example and a mistake that the idea helps you avoid.</w:t>
      </w:r>
    </w:p>
    <w:p>
      <w:pPr>
        <w:spacing w:line="336" w:lineRule="auto" w:after="180"/>
      </w:pPr>
      <w:r>
        <w:rPr>
          <w:b w:val="0"/>
        </w:rPr>
        <w:t>Without opening the old lesson, explain one key idea from Block to Python Bridge. Give an example and a mistake that the idea helps you avoid.</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26: </w:t>
      </w:r>
      <w:r>
        <w:rPr>
          <w:b/>
        </w:rPr>
        <w:t>Evaluation Set</w:t>
      </w:r>
      <w:r>
        <w:rPr>
          <w:b w:val="0"/>
        </w:rPr>
        <w:t>s</w:t>
      </w:r>
    </w:p>
    <w:p>
      <w:pPr>
        <w:spacing w:line="336" w:lineRule="auto" w:after="180"/>
      </w:pPr>
      <w:r>
        <w:rPr>
          <w:b w:val="0"/>
        </w:rPr>
        <w:t>A good eval set represents real use, edge cases, and known risks.</w:t>
      </w:r>
    </w:p>
    <w:p>
      <w:r>
        <w:drawing>
          <wp:inline xmlns:a="http://schemas.openxmlformats.org/drawingml/2006/main" xmlns:pic="http://schemas.openxmlformats.org/drawingml/2006/picture">
            <wp:extent cx="2942705" cy="2942705"/>
            <wp:docPr id="1" name="Picture 1" descr="Week 26 illustration: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 xml:space="preserve">Author ten tests with </w:t>
      </w:r>
      <w:r>
        <w:rPr>
          <w:b/>
        </w:rPr>
        <w:t>expected behavior</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Ranking and retrieval evaluation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pStyle w:val="Heading1"/>
      </w:pPr>
      <w:r>
        <w:t>02. Choose cases from the task and its failure risks</w:t>
      </w:r>
    </w:p>
    <w:p>
      <w:r>
        <w:t>Expected behavior must be set before viewing system outputs.</w:t>
      </w:r>
    </w:p>
    <w:p>
      <w:pPr>
        <w:pStyle w:val="Heading2"/>
      </w:pPr>
      <w:r>
        <w:t>Understand coverage and case roles</w:t>
      </w:r>
    </w:p>
    <w:p>
      <w:pPr>
        <w:spacing w:line="336" w:lineRule="auto" w:after="180"/>
      </w:pPr>
      <w:r>
        <w:rPr>
          <w:b w:val="0"/>
        </w:rPr>
        <w:t>An evaluation set is a recorded collection of inputs, permitted evidence and expected behavior. Include answerable, missing-source, ambiguous, conflicting and access-boundary cases that matter for the task. Development cases guide repairs; final reserved cases are kept from tuning. This lesson’s visible examples are practice, so they cannot serve as a hidden final test.</w:t>
      </w:r>
    </w:p>
    <w:p>
      <w:pPr>
        <w:spacing w:line="336" w:lineRule="auto" w:after="180"/>
      </w:pPr>
      <w:r>
        <w:rPr>
          <w:b w:val="0"/>
        </w:rPr>
        <w:t>A small constructed set probes specific behavior; it is not a representative estimate of all future requests.</w:t>
      </w:r>
    </w:p>
    <w:p>
      <w:pPr>
        <w:spacing w:line="336" w:lineRule="auto" w:after="180"/>
      </w:pPr>
      <w:r>
        <w:rPr>
          <w:b w:val="0"/>
        </w:rPr>
        <w:t xml:space="preserve">A system </w:t>
      </w:r>
      <w:r>
        <w:rPr>
          <w:b/>
        </w:rPr>
        <w:t>evaluation set</w:t>
      </w:r>
      <w:r>
        <w:rPr>
          <w:b w:val="0"/>
        </w:rPr>
        <w:t xml:space="preserve"> contains cases with expected behaviour and scoring rules. It should cover retrieval, support, fallback and permissions rather than only easy answerable questions.</w:t>
      </w:r>
    </w:p>
    <w:p>
      <w:pPr>
        <w:pStyle w:val="Heading2"/>
      </w:pPr>
      <w:r>
        <w:t>Extension · Ranking needs relevance judgements · reference / check after trying</w:t>
      </w:r>
    </w:p>
    <w:p>
      <w:pPr>
        <w:spacing w:line="336" w:lineRule="auto" w:after="180"/>
      </w:pPr>
      <w:r>
        <w:rPr>
          <w:b w:val="0"/>
        </w:rPr>
        <w:t xml:space="preserve">A ranking needs task-specific relevance judgments and a declared </w:t>
      </w:r>
      <w:r>
        <w:rPr>
          <w:b/>
        </w:rPr>
        <w:t>cutoff</w:t>
      </w:r>
      <w:r>
        <w:rPr>
          <w:b w:val="0"/>
        </w:rPr>
        <w:t>. Precision and recall have different denominators.</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evaluation set</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Ranking and retrieval evaluation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Freeze expected outcomes before measuring performance</w:t>
      </w:r>
    </w:p>
    <w:p>
      <w:r>
        <w:t>Different denominators answer different questions.</w:t>
      </w:r>
    </w:p>
    <w:p>
      <w:pPr>
        <w:pStyle w:val="Heading2"/>
      </w:pPr>
      <w:r>
        <w:t>Complete case-record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Case record</w:t>
            </w:r>
          </w:p>
        </w:tc>
        <w:tc>
          <w:tcPr>
            <w:tcW w:type="dxa" w:w="5112"/>
          </w:tcPr>
          <w:p>
            <w:r>
              <w:t>What to freeze before scoring</w:t>
            </w:r>
          </w:p>
        </w:tc>
      </w:tr>
      <w:tr>
        <w:tc>
          <w:tcPr>
            <w:tcW w:type="dxa" w:w="5112"/>
          </w:tcPr>
          <w:p>
            <w:r>
              <w:t>Identity</w:t>
            </w:r>
          </w:p>
        </w:tc>
        <w:tc>
          <w:tcPr>
            <w:tcW w:type="dxa" w:w="5112"/>
          </w:tcPr>
          <w:p>
            <w:r>
              <w:t>Case ID, user question and requested time</w:t>
            </w:r>
          </w:p>
        </w:tc>
      </w:tr>
      <w:tr>
        <w:tc>
          <w:tcPr>
            <w:tcW w:type="dxa" w:w="5112"/>
          </w:tcPr>
          <w:p>
            <w:r>
              <w:t>Evidence</w:t>
            </w:r>
          </w:p>
        </w:tc>
        <w:tc>
          <w:tcPr>
            <w:tcW w:type="dxa" w:w="5112"/>
          </w:tcPr>
          <w:p>
            <w:r>
              <w:t>Eligible source IDs/versions and relevant passages</w:t>
            </w:r>
          </w:p>
        </w:tc>
      </w:tr>
      <w:tr>
        <w:tc>
          <w:tcPr>
            <w:tcW w:type="dxa" w:w="5112"/>
          </w:tcPr>
          <w:p>
            <w:r>
              <w:t>Expected behavior</w:t>
            </w:r>
          </w:p>
        </w:tc>
        <w:tc>
          <w:tcPr>
            <w:tcW w:type="dxa" w:w="5112"/>
          </w:tcPr>
          <w:p>
            <w:r>
              <w:t>Supported claim, clarification, fallback or access refusal</w:t>
            </w:r>
          </w:p>
        </w:tc>
      </w:tr>
      <w:tr>
        <w:tc>
          <w:tcPr>
            <w:tcW w:type="dxa" w:w="5112"/>
          </w:tcPr>
          <w:p>
            <w:r>
              <w:t>Rubric</w:t>
            </w:r>
          </w:p>
        </w:tc>
        <w:tc>
          <w:tcPr>
            <w:tcW w:type="dxa" w:w="5112"/>
          </w:tcPr>
          <w:p>
            <w:r>
              <w:t>Required conditions and mandatory failures</w:t>
            </w:r>
          </w:p>
        </w:tc>
      </w:tr>
      <w:tr>
        <w:tc>
          <w:tcPr>
            <w:tcW w:type="dxa" w:w="5112"/>
          </w:tcPr>
          <w:p>
            <w:r>
              <w:t>Exposure</w:t>
            </w:r>
          </w:p>
        </w:tc>
        <w:tc>
          <w:tcPr>
            <w:tcW w:type="dxa" w:w="5112"/>
          </w:tcPr>
          <w:p>
            <w:r>
              <w:t>Development/reviewed or reserved; who has seen it</w:t>
            </w:r>
          </w:p>
        </w:tc>
      </w:tr>
      <w:tr>
        <w:tc>
          <w:tcPr>
            <w:tcW w:type="dxa" w:w="5112"/>
          </w:tcPr>
          <w:p>
            <w:r>
              <w:t>Observed result</w:t>
            </w:r>
          </w:p>
        </w:tc>
        <w:tc>
          <w:tcPr>
            <w:tcW w:type="dxa" w:w="5112"/>
          </w:tcPr>
          <w:p>
            <w:r>
              <w:t>Actual supplied output or recorded run, distinct from prediction</w:t>
            </w:r>
          </w:p>
        </w:tc>
      </w:tr>
      <w:tr>
        <w:tc>
          <w:tcPr>
            <w:tcW w:type="dxa" w:w="5112"/>
          </w:tcPr>
          <w:p>
            <w:r>
              <w:t>Aggregation</w:t>
            </w:r>
          </w:p>
        </w:tc>
        <w:tc>
          <w:tcPr>
            <w:tcW w:type="dxa" w:w="5112"/>
          </w:tcPr>
          <w:p>
            <w:r>
              <w:t>Report subgroup numerator/denominator before the pooled rate</w:t>
            </w:r>
          </w:p>
        </w:tc>
      </w:tr>
    </w:tbl>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Extension · Precision and recall definitions · reference / check after trying</w:t>
      </w:r>
    </w:p>
    <w:p>
      <w:pPr>
        <w:spacing w:line="336" w:lineRule="auto" w:after="180"/>
      </w:pPr>
      <w:r>
        <w:rPr>
          <w:b/>
        </w:rPr>
        <w:t>Precision at k</w:t>
      </w:r>
      <w:r>
        <w:rPr>
          <w:b w:val="0"/>
        </w:rPr>
        <w:t xml:space="preserve"> is relevant returned items divided by k when exactly k items are returned. </w:t>
      </w:r>
      <w:r>
        <w:rPr>
          <w:b/>
        </w:rPr>
        <w:t>Recall at k</w:t>
      </w:r>
      <w:r>
        <w:rPr>
          <w:b w:val="0"/>
        </w:rPr>
        <w:t xml:space="preserve"> is relevant returned items divided by all known relevant eligible items.</w:t>
      </w:r>
    </w:p>
    <w:p>
      <w:pPr>
        <w:spacing w:line="336" w:lineRule="auto" w:after="180"/>
      </w:pPr>
      <w:r>
        <w:rPr>
          <w:b w:val="0"/>
        </w:rPr>
        <w:t>If the relevant set is unknown, do not invent recall.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valuation Sets"/>
            <wp:cNvGraphicFramePr>
              <a:graphicFrameLocks noChangeAspect="1"/>
            </wp:cNvGraphicFramePr>
            <a:graphic>
              <a:graphicData uri="http://schemas.openxmlformats.org/drawingml/2006/picture">
                <pic:pic>
                  <pic:nvPicPr>
                    <pic:cNvPr id="0" name="48ff67940862c681fba501fec901b67e3e588ad757eb7fd0100a4eac4ab73590.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Evaluation Sets"/>
            <wp:cNvGraphicFramePr>
              <a:graphicFrameLocks noChangeAspect="1"/>
            </wp:cNvGraphicFramePr>
            <a:graphic>
              <a:graphicData uri="http://schemas.openxmlformats.org/drawingml/2006/picture">
                <pic:pic>
                  <pic:nvPicPr>
                    <pic:cNvPr id="0" name="c0763e8c04c2d3e9c3902e211e1e0fe2ef3dd6a15552d995cfb2ed1dbf8e8662.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Evaluation Sets"/>
            <wp:cNvGraphicFramePr>
              <a:graphicFrameLocks noChangeAspect="1"/>
            </wp:cNvGraphicFramePr>
            <a:graphic>
              <a:graphicData uri="http://schemas.openxmlformats.org/drawingml/2006/picture">
                <pic:pic>
                  <pic:nvPicPr>
                    <pic:cNvPr id="0" name="d34668cc54f458d6145eb13aaf4f7eccb218ba51ae0eff553c692809c6f90810.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Apply the connected idea: Ranking and retrieval evaluation</w:t>
      </w:r>
    </w:p>
    <w:p>
      <w:pPr>
        <w:pStyle w:val="Heading3"/>
      </w:pPr>
      <w:r>
        <w:t>Ranking and retrieval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Relevant documents are A, C, E. Top three results A, B, C contain two relevant items.</w:t>
            </w:r>
          </w:p>
        </w:tc>
        <w:tc>
          <w:tcPr>
            <w:tcW w:type="dxa" w:w="3408"/>
          </w:tcPr>
          <w:p>
            <w:r>
              <w:t>Precision at k is relevant returned items divided by k when exactly k items are returned.</w:t>
            </w:r>
          </w:p>
        </w:tc>
        <w:tc>
          <w:tcPr>
            <w:tcW w:type="dxa" w:w="3408"/>
          </w:tcPr>
          <w:p>
            <w:r>
              <w:t>Precision@3=2/3; recall@3=2/3. Duplicates should not count as distinct retrieved documents.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case coverage with a flattering total</w:t>
      </w:r>
    </w:p>
    <w:p>
      <w:r>
        <w:t>Changing the case mixture can raise the total without fixing an existing failure.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Add three missing-evidence cases that all pass.</w:t>
      </w:r>
    </w:p>
    <w:p>
      <w:pPr>
        <w:pStyle w:val="Heading2"/>
      </w:pPr>
      <w:r>
        <w:t>Check after predicting · reference / check after trying</w:t>
      </w:r>
    </w:p>
    <w:p>
      <w:pPr>
        <w:spacing w:line="336" w:lineRule="auto" w:after="180"/>
      </w:pPr>
      <w:r>
        <w:rPr>
          <w:b/>
        </w:rPr>
        <w:t>Prediction</w:t>
      </w:r>
      <w:r>
        <w:rPr>
          <w:b w:val="0"/>
        </w:rPr>
        <w:t>: Overall becomes 8/9, but supported answering remains 2/3.</w:t>
      </w:r>
    </w:p>
    <w:p>
      <w:pPr>
        <w:spacing w:line="336" w:lineRule="auto" w:after="180"/>
      </w:pPr>
      <w:r>
        <w:rPr>
          <w:b w:val="0"/>
        </w:rPr>
        <w:t>Reason: Changing the case mixture raises the pooled rate without improving any existing answerable result.</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why the pooled rate changes when the cases change</w:t>
      </w:r>
    </w:p>
    <w:p>
      <w:r>
        <w:t>A better-looking total is not evidence of better answering.</w:t>
      </w:r>
    </w:p>
    <w:p>
      <w:pPr>
        <w:pStyle w:val="Heading2"/>
      </w:pPr>
      <w:r>
        <w:t>Read the complete six-case outcome record</w:t>
      </w:r>
    </w:p>
    <w:p>
      <w:pPr>
        <w:spacing w:line="336" w:lineRule="auto" w:after="180"/>
      </w:pPr>
      <w:r>
        <w:rPr>
          <w:b w:val="0"/>
        </w:rPr>
        <w:t xml:space="preserve">Design an </w:t>
      </w:r>
      <w:r>
        <w:rPr>
          <w:b/>
        </w:rPr>
        <w:t>evaluation set</w:t>
      </w:r>
      <w:r>
        <w:rPr>
          <w:b w:val="0"/>
        </w:rPr>
        <w:t xml:space="preserve"> that checks answering and appropriate uncertainty separately.</w:t>
      </w:r>
    </w:p>
    <w:p>
      <w:pPr>
        <w:spacing w:line="336" w:lineRule="auto" w:after="180"/>
      </w:pPr>
      <w:r>
        <w:rPr>
          <w:b w:val="0"/>
        </w:rPr>
        <w:t>Six toy questions: three have source answers and three do not. Results: 2 supported answers out of 3; 3 correct “not in source” responses out of 3.</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Keep three records separate: the pictured six-case record has answering 2/3 and fallback 3/3, giving 5/6. Adding three successful missing-evidence cases gives 8/9 overall while answering remains 2/3. The separate ten-case W2 has answering 5/6 and fallback 3/4, giving 8/10. No system was run; these are supplied classroom outcomes, not estimated future accuracy.</w:t>
      </w:r>
    </w:p>
    <w:p>
      <w:pPr>
        <w:pStyle w:val="Heading2"/>
      </w:pPr>
      <w:r>
        <w:t>Trace subgroup and pooled denominators</w:t>
      </w:r>
    </w:p>
    <w:p>
      <w:r>
        <w:drawing>
          <wp:inline xmlns:a="http://schemas.openxmlformats.org/drawingml/2006/main" xmlns:pic="http://schemas.openxmlformats.org/drawingml/2006/picture">
            <wp:extent cx="5486400" cy="3337560"/>
            <wp:docPr id="14" name="Picture 14" descr="Separate cases: Keep answerable and missing-evidence cases as different groups. → Calculate rates: Answering: 2/3. Appropriate uncertainty: 3/3. →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story-ai-3-26-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spacing w:line="336" w:lineRule="auto" w:after="180"/>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adding only missing-evidence successes</w:t>
      </w:r>
    </w:p>
    <w:p>
      <w:pPr>
        <w:pStyle w:val="ListBullet"/>
      </w:pPr>
      <w:r>
        <w:t>Change one thing: Add three missing-evidence cases that all pass.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343656"/>
            <wp:docPr id="15" name="Picture 15" descr="Original case: Five of six pass overall; the perfect missing-evidence group hides one answering failure if only totals are discussed. Changed condition: Add three missing-evidence cases that all pass. Expected result: Overall becomes 8/9, but supported answering remains 2/3. Reason: Changing the case mixture raises the pooled rate without improving any existing answerable result."/>
            <wp:cNvGraphicFramePr>
              <a:graphicFrameLocks noChangeAspect="1"/>
            </wp:cNvGraphicFramePr>
            <a:graphic>
              <a:graphicData uri="http://schemas.openxmlformats.org/drawingml/2006/picture">
                <pic:pic>
                  <pic:nvPicPr>
                    <pic:cNvPr id="0" name="academy-story-ai-3-26-04.png"/>
                    <pic:cNvPicPr/>
                  </pic:nvPicPr>
                  <pic:blipFill>
                    <a:blip r:embed="rId18"/>
                    <a:stretch>
                      <a:fillRect/>
                    </a:stretch>
                  </pic:blipFill>
                  <pic:spPr>
                    <a:xfrm>
                      <a:off x="0" y="0"/>
                      <a:ext cx="5486400" cy="3343656"/>
                    </a:xfrm>
                    <a:prstGeom prst="rect"/>
                  </pic:spPr>
                </pic:pic>
              </a:graphicData>
            </a:graphic>
          </wp:inline>
        </w:drawing>
      </w:r>
    </w:p>
    <w:p>
      <w:pPr>
        <w:pStyle w:val="Heading2"/>
      </w:pPr>
      <w:r>
        <w:t>State the constructed-set limit</w:t>
      </w:r>
    </w:p>
    <w:p>
      <w:pPr>
        <w:pStyle w:val="ListBullet"/>
      </w:pPr>
      <w:r>
        <w:t>A small constructed set probes specific behaviours; its pooled rate is not an estimate of every future classroom question.</w:t>
      </w:r>
    </w:p>
    <w:p>
      <w:pPr>
        <w:pStyle w:val="ListBullet"/>
      </w:pPr>
      <w:r>
        <w:t>Read the labelled picture: Did the added cases demonstrate better answering? Point to the relevant step in the picture, then write the changed result and the rule or evidence that supports it.</w:t>
      </w:r>
    </w:p>
    <w:p>
      <w:pPr>
        <w:pStyle w:val="Heading2"/>
      </w:pPr>
      <w:r>
        <w:t>Separate practice · Ten-case W2 · reference / check after trying</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 xml:space="preserve">Answer correctness 5/6; appropriate fallback 3/4; combined </w:t>
      </w:r>
      <w:r>
        <w:rPr>
          <w:b/>
        </w:rPr>
        <w:t>contract pass</w:t>
      </w:r>
      <w:r>
        <w:rPr>
          <w:b w:val="0"/>
        </w:rPr>
        <w:t>es 8/10 if each case has one required outcome. Different denominators answer different questions.</w:t>
      </w:r>
    </w:p>
    <w:p>
      <w:pPr>
        <w:pStyle w:val="Heading2"/>
      </w:pPr>
      <w:r>
        <w:t>Extension · Known relevance and top-three scores · reference / check after trying</w:t>
      </w:r>
    </w:p>
    <w:p>
      <w:pPr>
        <w:spacing w:line="336" w:lineRule="auto" w:after="180"/>
      </w:pPr>
      <w:r>
        <w:rPr>
          <w:b w:val="0"/>
        </w:rPr>
        <w:t>Relevant documents are A, C, E. Top three results A, B, C contain two relevant items.</w:t>
      </w:r>
    </w:p>
    <w:p>
      <w:pPr>
        <w:spacing w:line="336" w:lineRule="auto" w:after="180"/>
      </w:pPr>
      <w:r>
        <w:rPr>
          <w:b w:val="0"/>
        </w:rPr>
        <w:t>Precision@3=2/3; recall@3=2/3. Duplicates should not count as distinct retrieved documents.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Evaluation Sets"/>
            <wp:cNvGraphicFramePr>
              <a:graphicFrameLocks noChangeAspect="1"/>
            </wp:cNvGraphicFramePr>
            <a:graphic>
              <a:graphicData uri="http://schemas.openxmlformats.org/drawingml/2006/picture">
                <pic:pic>
                  <pic:nvPicPr>
                    <pic:cNvPr id="0" name="0fa277f11fc8e980c96ba4d2e61aba81c8b531b632771868487ec2d5dd5ce06e.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Ten cases include factual, comparison, calculation, ambiguous, and missing-source questions.</w:t>
      </w:r>
    </w:p>
    <w:p>
      <w:pPr>
        <w:spacing w:line="336" w:lineRule="auto" w:after="180"/>
      </w:pPr>
      <w:r>
        <w:rPr>
          <w:b w:val="0"/>
        </w:rPr>
        <w:t>2. Add conflicting-source, prompt-injection, sensitive-data, and accessibility cases.</w:t>
      </w:r>
    </w:p>
    <w:p>
      <w:pPr>
        <w:spacing w:line="336" w:lineRule="auto" w:after="180"/>
      </w:pPr>
      <w:r>
        <w:rPr>
          <w:b w:val="0"/>
        </w:rPr>
        <w:t xml:space="preserve">3. Write </w:t>
      </w:r>
      <w:r>
        <w:rPr>
          <w:b/>
        </w:rPr>
        <w:t>expected behavior</w:t>
      </w:r>
      <w:r>
        <w:rPr>
          <w:b w:val="0"/>
        </w:rPr>
        <w:t xml:space="preserve"> before running the product.</w:t>
      </w:r>
    </w:p>
    <w:p>
      <w:pPr>
        <w:spacing w:line="336" w:lineRule="auto" w:after="180"/>
      </w:pPr>
      <w:r>
        <w:rPr>
          <w:b w:val="0"/>
        </w:rPr>
        <w:t xml:space="preserve">4. After a repair, keep the failed case as a </w:t>
      </w:r>
      <w:r>
        <w:rPr>
          <w:b/>
        </w:rPr>
        <w:t>regression test</w:t>
      </w:r>
      <w:r>
        <w:rPr>
          <w:b w:val="0"/>
        </w:rPr>
        <w: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Ranking and retrieval evaluation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Evaluation Sets</w:t>
      </w:r>
    </w:p>
    <w:p>
      <w:pPr>
        <w:pStyle w:val="Heading3"/>
      </w:pPr>
      <w:r>
        <w:t>The facts we will use</w:t>
      </w:r>
    </w:p>
    <w:p>
      <w:r>
        <w:drawing>
          <wp:inline xmlns:a="http://schemas.openxmlformats.org/drawingml/2006/main" xmlns:pic="http://schemas.openxmlformats.org/drawingml/2006/picture">
            <wp:extent cx="5486400" cy="5421086"/>
            <wp:docPr id="17" name="Picture 17"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20"/>
                    <a:stretch>
                      <a:fillRect/>
                    </a:stretch>
                  </pic:blipFill>
                  <pic:spPr>
                    <a:xfrm>
                      <a:off x="0" y="0"/>
                      <a:ext cx="5486400" cy="5421086"/>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changed denominator or contaminated test</w:t>
      </w:r>
    </w:p>
    <w:p>
      <w:r>
        <w:t>A pass count needs case identities, categories and exposure history.</w:t>
      </w:r>
    </w:p>
    <w:p>
      <w:pPr>
        <w:pStyle w:val="Heading2"/>
      </w:pPr>
      <w:r>
        <w:t>Repair the pooled-improvement shortcut</w:t>
      </w:r>
    </w:p>
    <w:p>
      <w:pPr>
        <w:spacing w:line="336" w:lineRule="auto" w:after="180"/>
      </w:pPr>
      <w:r>
        <w:rPr>
          <w:b w:val="0"/>
        </w:rPr>
        <w:t>Claim to repair: Five of six became eight of nine, so the assistant now answers source questions better. Only the case mixture changed: answering remains two of three. Preserve all original outcomes and show subgroup rates. Another shortcut is editing a prompt until it passes these cases, then calling the same reviewed cases a final test. Keep them as development evidence and use new reserved cases for a later check.</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Evaluation Sets"/>
            <wp:cNvGraphicFramePr>
              <a:graphicFrameLocks noChangeAspect="1"/>
            </wp:cNvGraphicFramePr>
            <a:graphic>
              <a:graphicData uri="http://schemas.openxmlformats.org/drawingml/2006/picture">
                <pic:pic>
                  <pic:nvPicPr>
                    <pic:cNvPr id="0" name="23ecc7f1dc160b42f57927aafbe6d47f234d55eb75e560a185056b9202b72a81.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Apply the connected idea: Ranking and retrieval evaluation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the ten-case denominators with less help</w:t>
      </w:r>
    </w:p>
    <w:p>
      <w:r>
        <w:t>Do not merge this record with the pictured six-case record.</w:t>
      </w:r>
    </w:p>
    <w:p>
      <w:pPr>
        <w:pStyle w:val="Heading2"/>
      </w:pPr>
      <w:r>
        <w:t>Complete the current W2</w:t>
      </w:r>
    </w:p>
    <w:p>
      <w:pPr>
        <w:spacing w:line="336" w:lineRule="auto" w:after="180"/>
      </w:pPr>
      <w:r>
        <w:rPr>
          <w:b w:val="0"/>
        </w:rPr>
        <w:t xml:space="preserve">Use workbook W2 for the connected example “System </w:t>
      </w:r>
      <w:r>
        <w:rPr>
          <w:b/>
        </w:rPr>
        <w:t>evaluation set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an all-future-cases claim</w:t>
      </w:r>
    </w:p>
    <w:p>
      <w:pPr>
        <w:pStyle w:val="ListBullet"/>
      </w:pPr>
      <w:r>
        <w:t>Use the worked case for System evaluation sets.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case-mixture change</w:t>
      </w:r>
    </w:p>
    <w:p>
      <w:pPr>
        <w:pStyle w:val="ListBullet"/>
      </w:pPr>
      <w:r>
        <w:t>Did the added cases demonstrate better answering?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Evaluation Set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Evaluation </w:t>
      </w:r>
      <w:r>
        <w:rPr>
          <w:b/>
        </w:rPr>
        <w:t>coverage</w:t>
      </w:r>
      <w:r>
        <w:rPr>
          <w:b w:val="0"/>
        </w:rPr>
        <w:t xml:space="preserve"> limits the claim; prompts tuned on these cases need new reserved final cases.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Ranking and retrieval evaluation</w:t>
      </w:r>
    </w:p>
    <w:p>
      <w:pPr>
        <w:spacing w:line="336" w:lineRule="auto" w:after="180"/>
      </w:pPr>
      <w:r>
        <w:rPr>
          <w:b w:val="0"/>
        </w:rPr>
        <w:t xml:space="preserve">Known judgments may be incomplete; a score over one query does not establish </w:t>
      </w:r>
      <w:r>
        <w:rPr>
          <w:b/>
        </w:rPr>
        <w:t>coverage</w:t>
      </w:r>
      <w:r>
        <w:rPr>
          <w:b w:val="0"/>
        </w:rPr>
        <w:t xml:space="preserve"> over all queries.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Practise the connected topic: Ranking and retrieval evaluation</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3"/>
      </w:pPr>
      <w:r>
        <w:t>Explain the picture</w:t>
      </w:r>
    </w:p>
    <w:p>
      <w:pPr>
        <w:pStyle w:val="Heading1"/>
      </w:pPr>
      <w:r>
        <w:t>09. Audit ten complete cases, then find missing coverage</w:t>
      </w:r>
    </w:p>
    <w:p>
      <w:r>
        <w:t>The supplied outputs instantiate the W2 denominators.</w:t>
      </w:r>
    </w:p>
    <w:p>
      <w:pPr>
        <w:pStyle w:val="Heading2"/>
      </w:pPr>
      <w:r>
        <w:t>All permitted source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Eligible current public source</w:t>
            </w:r>
          </w:p>
        </w:tc>
        <w:tc>
          <w:tcPr>
            <w:tcW w:type="dxa" w:w="5112"/>
          </w:tcPr>
          <w:p>
            <w:r>
              <w:t>Complete fictional content</w:t>
            </w:r>
          </w:p>
        </w:tc>
      </w:tr>
      <w:tr>
        <w:tc>
          <w:tcPr>
            <w:tcW w:type="dxa" w:w="5112"/>
          </w:tcPr>
          <w:p>
            <w:r>
              <w:t>H-v1 · Library hours</w:t>
            </w:r>
          </w:p>
        </w:tc>
        <w:tc>
          <w:tcPr>
            <w:tcW w:type="dxa" w:w="5112"/>
          </w:tcPr>
          <w:p>
            <w:r>
              <w:t>Monday–Thursday opens 09:00, closes 17:00. Friday opens 09:00, closes 16:00.</w:t>
            </w:r>
          </w:p>
        </w:tc>
      </w:tr>
      <w:tr>
        <w:tc>
          <w:tcPr>
            <w:tcW w:type="dxa" w:w="5112"/>
          </w:tcPr>
          <w:p>
            <w:r>
              <w:t>R-v1 · Return instructions</w:t>
            </w:r>
          </w:p>
        </w:tc>
        <w:tc>
          <w:tcPr>
            <w:tcW w:type="dxa" w:w="5112"/>
          </w:tcPr>
          <w:p>
            <w:r>
              <w:t>Return books in the blue box.</w:t>
            </w:r>
          </w:p>
        </w:tc>
      </w:tr>
      <w:tr>
        <w:tc>
          <w:tcPr>
            <w:tcW w:type="dxa" w:w="5112"/>
          </w:tcPr>
          <w:p>
            <w:r>
              <w:t>C-v1 · Room notice</w:t>
            </w:r>
          </w:p>
        </w:tc>
        <w:tc>
          <w:tcPr>
            <w:tcW w:type="dxa" w:w="5112"/>
          </w:tcPr>
          <w:p>
            <w:r>
              <w:t>Room B is approved for this activity; capacity 12.</w:t>
            </w:r>
          </w:p>
        </w:tc>
      </w:tr>
      <w:tr>
        <w:tc>
          <w:tcPr>
            <w:tcW w:type="dxa" w:w="5112"/>
          </w:tcPr>
          <w:p>
            <w:r>
              <w:t>Missing facts</w:t>
            </w:r>
          </w:p>
        </w:tc>
        <w:tc>
          <w:tcPr>
            <w:tcW w:type="dxa" w:w="5112"/>
          </w:tcPr>
          <w:p>
            <w:r>
              <w:t>No manager name, lunch provision, bus time or weekend opening is supplied.</w:t>
            </w:r>
          </w:p>
        </w:tc>
      </w:tr>
    </w:tbl>
    <w:p>
      <w:pPr>
        <w:pStyle w:val="Heading2"/>
      </w:pPr>
      <w:r>
        <w:t>Ten questions, expected outcomes and constructed outputs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 / question</w:t>
            </w:r>
          </w:p>
        </w:tc>
        <w:tc>
          <w:tcPr>
            <w:tcW w:type="dxa" w:w="3408"/>
          </w:tcPr>
          <w:p>
            <w:r>
              <w:t>Expected behavior</w:t>
            </w:r>
          </w:p>
        </w:tc>
        <w:tc>
          <w:tcPr>
            <w:tcW w:type="dxa" w:w="3408"/>
          </w:tcPr>
          <w:p>
            <w:r>
              <w:t>Supplied constructed output</w:t>
            </w:r>
          </w:p>
        </w:tc>
      </w:tr>
      <w:tr>
        <w:tc>
          <w:tcPr>
            <w:tcW w:type="dxa" w:w="3408"/>
          </w:tcPr>
          <w:p>
            <w:r>
              <w:t>A1 · Monday opening</w:t>
            </w:r>
          </w:p>
        </w:tc>
        <w:tc>
          <w:tcPr>
            <w:tcW w:type="dxa" w:w="3408"/>
          </w:tcPr>
          <w:p>
            <w:r>
              <w:t>09:00 from H-v1</w:t>
            </w:r>
          </w:p>
        </w:tc>
        <w:tc>
          <w:tcPr>
            <w:tcW w:type="dxa" w:w="3408"/>
          </w:tcPr>
          <w:p>
            <w:r>
              <w:t>09:00 [H-v1]</w:t>
            </w:r>
          </w:p>
        </w:tc>
      </w:tr>
      <w:tr>
        <w:tc>
          <w:tcPr>
            <w:tcW w:type="dxa" w:w="3408"/>
          </w:tcPr>
          <w:p>
            <w:r>
              <w:t>A2 · Tuesday closing</w:t>
            </w:r>
          </w:p>
        </w:tc>
        <w:tc>
          <w:tcPr>
            <w:tcW w:type="dxa" w:w="3408"/>
          </w:tcPr>
          <w:p>
            <w:r>
              <w:t>17:00 from H-v1</w:t>
            </w:r>
          </w:p>
        </w:tc>
        <w:tc>
          <w:tcPr>
            <w:tcW w:type="dxa" w:w="3408"/>
          </w:tcPr>
          <w:p>
            <w:r>
              <w:t>17:00 [H-v1]</w:t>
            </w:r>
          </w:p>
        </w:tc>
      </w:tr>
      <w:tr>
        <w:tc>
          <w:tcPr>
            <w:tcW w:type="dxa" w:w="3408"/>
          </w:tcPr>
          <w:p>
            <w:r>
              <w:t>A3 · Friday closing</w:t>
            </w:r>
          </w:p>
        </w:tc>
        <w:tc>
          <w:tcPr>
            <w:tcW w:type="dxa" w:w="3408"/>
          </w:tcPr>
          <w:p>
            <w:r>
              <w:t>16:00 from Friday clause</w:t>
            </w:r>
          </w:p>
        </w:tc>
        <w:tc>
          <w:tcPr>
            <w:tcW w:type="dxa" w:w="3408"/>
          </w:tcPr>
          <w:p>
            <w:r>
              <w:t>16:00 [H-v1]</w:t>
            </w:r>
          </w:p>
        </w:tc>
      </w:tr>
      <w:tr>
        <w:tc>
          <w:tcPr>
            <w:tcW w:type="dxa" w:w="3408"/>
          </w:tcPr>
          <w:p>
            <w:r>
              <w:t>A4 · Return location</w:t>
            </w:r>
          </w:p>
        </w:tc>
        <w:tc>
          <w:tcPr>
            <w:tcW w:type="dxa" w:w="3408"/>
          </w:tcPr>
          <w:p>
            <w:r>
              <w:t>Blue box from R-v1</w:t>
            </w:r>
          </w:p>
        </w:tc>
        <w:tc>
          <w:tcPr>
            <w:tcW w:type="dxa" w:w="3408"/>
          </w:tcPr>
          <w:p>
            <w:r>
              <w:t>Red box [R-v1]</w:t>
            </w:r>
          </w:p>
        </w:tc>
      </w:tr>
      <w:tr>
        <w:tc>
          <w:tcPr>
            <w:tcW w:type="dxa" w:w="3408"/>
          </w:tcPr>
          <w:p>
            <w:r>
              <w:t>A5 · B capacity</w:t>
            </w:r>
          </w:p>
        </w:tc>
        <w:tc>
          <w:tcPr>
            <w:tcW w:type="dxa" w:w="3408"/>
          </w:tcPr>
          <w:p>
            <w:r>
              <w:t>12 from C-v1</w:t>
            </w:r>
          </w:p>
        </w:tc>
        <w:tc>
          <w:tcPr>
            <w:tcW w:type="dxa" w:w="3408"/>
          </w:tcPr>
          <w:p>
            <w:r>
              <w:t>12 [C-v1]</w:t>
            </w:r>
          </w:p>
        </w:tc>
      </w:tr>
      <w:tr>
        <w:tc>
          <w:tcPr>
            <w:tcW w:type="dxa" w:w="3408"/>
          </w:tcPr>
          <w:p>
            <w:r>
              <w:t>A6 · Is B approved?</w:t>
            </w:r>
          </w:p>
        </w:tc>
        <w:tc>
          <w:tcPr>
            <w:tcW w:type="dxa" w:w="3408"/>
          </w:tcPr>
          <w:p>
            <w:r>
              <w:t>Yes under C-v1 scope</w:t>
            </w:r>
          </w:p>
        </w:tc>
        <w:tc>
          <w:tcPr>
            <w:tcW w:type="dxa" w:w="3408"/>
          </w:tcPr>
          <w:p>
            <w:r>
              <w:t>Approved for this activity [C-v1]</w:t>
            </w:r>
          </w:p>
        </w:tc>
      </w:tr>
      <w:tr>
        <w:tc>
          <w:tcPr>
            <w:tcW w:type="dxa" w:w="3408"/>
          </w:tcPr>
          <w:p>
            <w:r>
              <w:t>U1 · Manager name</w:t>
            </w:r>
          </w:p>
        </w:tc>
        <w:tc>
          <w:tcPr>
            <w:tcW w:type="dxa" w:w="3408"/>
          </w:tcPr>
          <w:p>
            <w:r>
              <w:t>Not supplied; request source</w:t>
            </w:r>
          </w:p>
        </w:tc>
        <w:tc>
          <w:tcPr>
            <w:tcW w:type="dxa" w:w="3408"/>
          </w:tcPr>
          <w:p>
            <w:r>
              <w:t>Not in these sources.</w:t>
            </w:r>
          </w:p>
        </w:tc>
      </w:tr>
      <w:tr>
        <w:tc>
          <w:tcPr>
            <w:tcW w:type="dxa" w:w="3408"/>
          </w:tcPr>
          <w:p>
            <w:r>
              <w:t>U2 · Lunch provision</w:t>
            </w:r>
          </w:p>
        </w:tc>
        <w:tc>
          <w:tcPr>
            <w:tcW w:type="dxa" w:w="3408"/>
          </w:tcPr>
          <w:p>
            <w:r>
              <w:t>Not supplied; request source</w:t>
            </w:r>
          </w:p>
        </w:tc>
        <w:tc>
          <w:tcPr>
            <w:tcW w:type="dxa" w:w="3408"/>
          </w:tcPr>
          <w:p>
            <w:r>
              <w:t>Free lunch is included.</w:t>
            </w:r>
          </w:p>
        </w:tc>
      </w:tr>
      <w:tr>
        <w:tc>
          <w:tcPr>
            <w:tcW w:type="dxa" w:w="3408"/>
          </w:tcPr>
          <w:p>
            <w:r>
              <w:t>U3 · Bus time</w:t>
            </w:r>
          </w:p>
        </w:tc>
        <w:tc>
          <w:tcPr>
            <w:tcW w:type="dxa" w:w="3408"/>
          </w:tcPr>
          <w:p>
            <w:r>
              <w:t>Not supplied; request source</w:t>
            </w:r>
          </w:p>
        </w:tc>
        <w:tc>
          <w:tcPr>
            <w:tcW w:type="dxa" w:w="3408"/>
          </w:tcPr>
          <w:p>
            <w:r>
              <w:t>Not in these sources.</w:t>
            </w:r>
          </w:p>
        </w:tc>
      </w:tr>
      <w:tr>
        <w:tc>
          <w:tcPr>
            <w:tcW w:type="dxa" w:w="3408"/>
          </w:tcPr>
          <w:p>
            <w:r>
              <w:t>U4 · Saturday opening</w:t>
            </w:r>
          </w:p>
        </w:tc>
        <w:tc>
          <w:tcPr>
            <w:tcW w:type="dxa" w:w="3408"/>
          </w:tcPr>
          <w:p>
            <w:r>
              <w:t>Not supplied; request source</w:t>
            </w:r>
          </w:p>
        </w:tc>
        <w:tc>
          <w:tcPr>
            <w:tcW w:type="dxa" w:w="3408"/>
          </w:tcPr>
          <w:p>
            <w:r>
              <w:t>Not in these sources.</w:t>
            </w:r>
          </w:p>
        </w:tc>
      </w:tr>
    </w:tbl>
    <w:p>
      <w:pPr>
        <w:pStyle w:val="Heading2"/>
      </w:pPr>
      <w:r>
        <w:t>Score, inspect coverage and author new cases</w:t>
      </w:r>
    </w:p>
    <w:p>
      <w:pPr>
        <w:pStyle w:val="ListNumber"/>
      </w:pPr>
      <w:r>
        <w:t>Use the ten complete visible practice cases and frozen source versions. Treat A1–A6 as answerable and U1–U4 as missing-evidence cases. Judge each supplied output against its expected behavior, retaining A4 and U2 as failures. Compute 5/6 answer correctness, 3/4 appropriate fallback and 8/10 contract passes; each case has one required outcome in this exercise. These are constructed outputs, not a model run. Peer-audit coverage: this set still lacks ambiguity, conflicting authority and access cases. Author one fully supplied new case per missing category and freeze expectations, but do not invent observed results. Keep independent club-record cases withheld. Visible reviewed cases cannot become reserved final cases by relabelling them.</w:t>
      </w:r>
    </w:p>
    <w:p>
      <w:pPr>
        <w:pStyle w:val="Heading2"/>
      </w:pPr>
      <w:r>
        <w:t>Keep the evaluation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Evaluation Sets"/>
            <wp:cNvGraphicFramePr>
              <a:graphicFrameLocks noChangeAspect="1"/>
            </wp:cNvGraphicFramePr>
            <a:graphic>
              <a:graphicData uri="http://schemas.openxmlformats.org/drawingml/2006/picture">
                <pic:pic>
                  <pic:nvPicPr>
                    <pic:cNvPr id="0" name="0f89197f4c4fefcedcad0b89ead7d05cba562a272cea05df36fce37ec94a9fbc.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complete ten-case H/R/C practice set and supplied constructed outputs. Freeze source versions and expectations, score case-level outcomes, report subgroup rates, then identify missing ambiguity/conflict/access </w:t>
      </w:r>
      <w:r>
        <w:rPr>
          <w:b/>
        </w:rPr>
        <w:t>coverage</w:t>
      </w:r>
      <w:r>
        <w:rPr>
          <w:b w:val="0"/>
        </w:rPr>
        <w:t>. Newly authored cases have predictions, not fabricated results.</w:t>
      </w:r>
    </w:p>
    <w:p>
      <w:pPr>
        <w:pStyle w:val="Heading3"/>
      </w:pPr>
      <w:r>
        <w:t>Plan → try → check</w:t>
      </w:r>
    </w:p>
    <w:p>
      <w:pPr>
        <w:pStyle w:val="Heading1"/>
      </w:pPr>
      <w:r>
        <w:t>14. Try alone: design checks for fresh club-record gaps</w:t>
      </w:r>
    </w:p>
    <w:p>
      <w:r>
        <w:t>Distinguish ambiguity, absent facts and unresolved conflicting versions.</w:t>
      </w:r>
    </w:p>
    <w:p>
      <w:pPr>
        <w:pStyle w:val="Heading2"/>
      </w:pPr>
      <w:r>
        <w:t>Independent notes, questions and scope</w:t>
      </w:r>
    </w:p>
    <w:p>
      <w:pPr>
        <w:spacing w:line="336" w:lineRule="auto" w:after="180"/>
      </w:pPr>
      <w:r>
        <w:rPr>
          <w:b w:val="0"/>
        </w:rPr>
        <w:t>Approved notes: Robotics Tuesday Room2; Art Wednesday Room5. Requests: “Where does the club meet?” and “Who leads drama?” An unversioned added note says Robotics Room3. Design checks and safe responses.</w:t>
      </w:r>
    </w:p>
    <w:p>
      <w:pPr>
        <w:spacing w:line="336" w:lineRule="auto" w:after="180"/>
      </w:pPr>
      <w:r>
        <w:rPr>
          <w:b w:val="0"/>
        </w:rPr>
        <w:t>Use only the supplied club notes and questions. The added unversioned note has no supplied precedence or authority rule. Do not assume a later-looking note overrides another, or invent a club leader. Design checks and expected responses; no actual system outcomes are supplied.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26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You improve a prompt after reading every test question. Can those questions still provide an untouched final evaluation? Propose a repair.</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Maintain a balanced eval set covering utility, grounding, format, privacy, and safety.</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test set contains ten easy questions with direct answers in the notes. Add three different kinds of cases that probe fallback behaviour and define expected outcomes.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evaluation set inspectable</w:t>
      </w:r>
    </w:p>
    <w:p>
      <w:r>
        <w:t>A case’s expected answer and exposure history are part of the evidence.</w:t>
      </w:r>
    </w:p>
    <w:p>
      <w:pPr>
        <w:pStyle w:val="Heading2"/>
      </w:pPr>
      <w:r>
        <w:t>This week’s contribution</w:t>
      </w:r>
    </w:p>
    <w:p>
      <w:pPr>
        <w:spacing w:line="336" w:lineRule="auto" w:after="180"/>
      </w:pPr>
      <w:r>
        <w:rPr>
          <w:b w:val="0"/>
        </w:rPr>
        <w:t>For the Verified Study Buddy, maintain a versioned case table with source eligibility, expected behavior, criterion decisions, actual output and exposure role. Keep subgroup failures visible even when the pooled total is high. Separate debugging cases from new reserved evaluation. If tuning after a failed final case, record the exposure and use further fresh cases before making a new generalisation claim.</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the checkpoint and human choice</w:t>
      </w:r>
    </w:p>
    <w:p>
      <w:pPr>
        <w:spacing w:line="336" w:lineRule="auto" w:after="180"/>
      </w:pPr>
      <w:r>
        <w:rPr>
          <w:b w:val="0"/>
        </w:rPr>
        <w:t>THIS WEEK’S CHECKPOINT  Maintain a balanced eval set covering utility, grounding, format, privacy, and safety.</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Evaluation Sets"/>
            <wp:cNvGraphicFramePr>
              <a:graphicFrameLocks noChangeAspect="1"/>
            </wp:cNvGraphicFramePr>
            <a:graphic>
              <a:graphicData uri="http://schemas.openxmlformats.org/drawingml/2006/picture">
                <pic:pic>
                  <pic:nvPicPr>
                    <pic:cNvPr id="0" name="da4a2fcbc6cfd3b65d400c0d55cf0faa34692173a5f661240b923ffeec11cf20.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subgroup, denominator and untested risk</w:t>
      </w:r>
    </w:p>
    <w:p>
      <w:r>
        <w:t>A visible practice set cannot prove every future case.</w:t>
      </w:r>
    </w:p>
    <w:p>
      <w:pPr>
        <w:pStyle w:val="Heading2"/>
      </w:pPr>
      <w:r>
        <w:t>Explain without notes</w:t>
      </w:r>
    </w:p>
    <w:p>
      <w:pPr>
        <w:pStyle w:val="ListBullet"/>
      </w:pPr>
      <w:r>
        <w:t>Close your notes. Explain this goal in your own words: Explain the mechanism and terminology of system evaluation sets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evaluation set</w:t>
            </w:r>
          </w:p>
        </w:tc>
        <w:tc>
          <w:tcPr>
            <w:tcW w:type="dxa" w:w="3408"/>
          </w:tcPr>
          <w:p>
            <w:r>
              <w:t>Cases used to measure a system under declared criteria; specify whether they are validation or final test cases.</w:t>
            </w:r>
          </w:p>
        </w:tc>
        <w:tc>
          <w:tcPr>
            <w:tcW w:type="dxa" w:w="3408"/>
          </w:tcPr>
          <w:p>
            <w:r/>
          </w:p>
        </w:tc>
      </w:tr>
      <w:tr>
        <w:tc>
          <w:tcPr>
            <w:tcW w:type="dxa" w:w="3408"/>
          </w:tcPr>
          <w:p>
            <w:r>
              <w:t>coverage</w:t>
            </w:r>
          </w:p>
        </w:tc>
        <w:tc>
          <w:tcPr>
            <w:tcW w:type="dxa" w:w="3408"/>
          </w:tcPr>
          <w:p>
            <w:r>
              <w:t>The range of relevant cases, conditions or groups included in data or tests.</w:t>
            </w:r>
          </w:p>
        </w:tc>
        <w:tc>
          <w:tcPr>
            <w:tcW w:type="dxa" w:w="3408"/>
          </w:tcPr>
          <w:p>
            <w:r/>
          </w:p>
        </w:tc>
      </w:tr>
      <w:tr>
        <w:tc>
          <w:tcPr>
            <w:tcW w:type="dxa" w:w="3408"/>
          </w:tcPr>
          <w:p>
            <w:r>
              <w:t>expected behavior</w:t>
            </w:r>
          </w:p>
        </w:tc>
        <w:tc>
          <w:tcPr>
            <w:tcW w:type="dxa" w:w="3408"/>
          </w:tcPr>
          <w:p>
            <w:r>
              <w:t>The result or action required by the specification for a given case, stated before observing the system.</w:t>
            </w:r>
          </w:p>
        </w:tc>
        <w:tc>
          <w:tcPr>
            <w:tcW w:type="dxa" w:w="3408"/>
          </w:tcPr>
          <w:p>
            <w:r/>
          </w:p>
        </w:tc>
      </w:tr>
      <w:tr>
        <w:tc>
          <w:tcPr>
            <w:tcW w:type="dxa" w:w="3408"/>
          </w:tcPr>
          <w:p>
            <w:r>
              <w:t>regression test</w:t>
            </w:r>
          </w:p>
        </w:tc>
        <w:tc>
          <w:tcPr>
            <w:tcW w:type="dxa" w:w="3408"/>
          </w:tcPr>
          <w:p>
            <w:r>
              <w:t>A repeatable check that previously correct behaviour still works after a change.</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Contract pass</w:t>
            </w:r>
          </w:p>
        </w:tc>
        <w:tc>
          <w:tcPr>
            <w:tcW w:type="dxa" w:w="5112"/>
          </w:tcPr>
          <w:p>
            <w:r>
              <w:t>Satisfying the declared requirements for one case</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 at k</w:t>
            </w:r>
          </w:p>
        </w:tc>
        <w:tc>
          <w:tcPr>
            <w:tcW w:type="dxa" w:w="5112"/>
          </w:tcPr>
          <w:p>
            <w:r>
              <w:t>Relevant results among the first k returned items</w:t>
            </w:r>
          </w:p>
        </w:tc>
      </w:tr>
      <w:tr>
        <w:tc>
          <w:tcPr>
            <w:tcW w:type="dxa" w:w="5112"/>
          </w:tcPr>
          <w:p>
            <w:r>
              <w:t>Recall at k</w:t>
            </w:r>
          </w:p>
        </w:tc>
        <w:tc>
          <w:tcPr>
            <w:tcW w:type="dxa" w:w="5112"/>
          </w:tcPr>
          <w:p>
            <w:r>
              <w:t>Fraction of known relevant eligible items found in the first k results</w:t>
            </w:r>
          </w:p>
        </w:tc>
      </w:tr>
      <w:tr>
        <w:tc>
          <w:tcPr>
            <w:tcW w:type="dxa" w:w="5112"/>
          </w:tcPr>
          <w:p>
            <w:r>
              <w:t>Cutoff</w:t>
            </w:r>
          </w:p>
        </w:tc>
        <w:tc>
          <w:tcPr>
            <w:tcW w:type="dxa" w:w="5112"/>
          </w:tcPr>
          <w:p>
            <w:r>
              <w:t>The rank limit used for scoring</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evaluation set"/>
            <wp:cNvGraphicFramePr>
              <a:graphicFrameLocks noChangeAspect="1"/>
            </wp:cNvGraphicFramePr>
            <a:graphic>
              <a:graphicData uri="http://schemas.openxmlformats.org/drawingml/2006/picture">
                <pic:pic>
                  <pic:nvPicPr>
                    <pic:cNvPr id="0" name="cce16985e5950fbed70301713b57bb9babb7fe9b006f9a3836502c8169841d17.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coverage"/>
            <wp:cNvGraphicFramePr>
              <a:graphicFrameLocks noChangeAspect="1"/>
            </wp:cNvGraphicFramePr>
            <a:graphic>
              <a:graphicData uri="http://schemas.openxmlformats.org/drawingml/2006/picture">
                <pic:pic>
                  <pic:nvPicPr>
                    <pic:cNvPr id="0" name="d53ede2fa00917151c7749184eae88fa3436735c1b9542690dd5809a432fec82.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expected behavior"/>
            <wp:cNvGraphicFramePr>
              <a:graphicFrameLocks noChangeAspect="1"/>
            </wp:cNvGraphicFramePr>
            <a:graphic>
              <a:graphicData uri="http://schemas.openxmlformats.org/drawingml/2006/picture">
                <pic:pic>
                  <pic:nvPicPr>
                    <pic:cNvPr id="0" name="0e6e4dabaf5d7e2a369e3d9f7ac154ae836908b90b37a9374915c4a9c34259db.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regression test"/>
            <wp:cNvGraphicFramePr>
              <a:graphicFrameLocks noChangeAspect="1"/>
            </wp:cNvGraphicFramePr>
            <a:graphic>
              <a:graphicData uri="http://schemas.openxmlformats.org/drawingml/2006/picture">
                <pic:pic>
                  <pic:nvPicPr>
                    <pic:cNvPr id="0" name="a379852fee394048a0192d39546eb5c2befbe8bad10405ce364e5b5b2e50f3d1.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Ranking and retrieval evaluation</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Evaluation Set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Design checks for the fresh club records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Design checks for the fresh club records independently is the selected independent task.</w:t>
      </w:r>
    </w:p>
    <w:p>
      <w:r>
        <w:drawing>
          <wp:inline xmlns:a="http://schemas.openxmlformats.org/drawingml/2006/main" xmlns:pic="http://schemas.openxmlformats.org/drawingml/2006/picture">
            <wp:extent cx="5486400" cy="1901952"/>
            <wp:docPr id="27" name="Picture 27" descr="Independent proof graphic for Evaluation Sets"/>
            <wp:cNvGraphicFramePr>
              <a:graphicFrameLocks noChangeAspect="1"/>
            </wp:cNvGraphicFramePr>
            <a:graphic>
              <a:graphicData uri="http://schemas.openxmlformats.org/drawingml/2006/picture">
                <pic:pic>
                  <pic:nvPicPr>
                    <pic:cNvPr id="0" name="9a565232ca6c5ed842872d18499edd763bdab28067e38f7b2e32f1bbb6955cef.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Require clarification, missing-source behavior and conflict preservation before aggregation.</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Ten evaluation questions are easy definitions; none lacks a source.</w:t>
      </w:r>
    </w:p>
    <w:p>
      <w:pPr>
        <w:spacing w:line="336" w:lineRule="auto" w:after="180"/>
      </w:pPr>
      <w:r>
        <w:rPr>
          <w:b w:val="0"/>
        </w:rPr>
        <w:t>What is untested?</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Absent </w:t>
      </w:r>
      <w:r>
        <w:rPr>
          <w:b/>
        </w:rPr>
        <w:t>evidence</w:t>
      </w:r>
      <w:r>
        <w:rPr>
          <w:b w:val="0"/>
        </w:rPr>
        <w:t>, ambiguity and boundary handling. Add predefined fallback cases and keep final cases separate from tuning.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Easy definitions</w:t>
            </w:r>
          </w:p>
        </w:tc>
        <w:tc>
          <w:tcPr>
            <w:tcW w:type="dxa" w:w="5112"/>
          </w:tcPr>
          <w:p>
            <w:r>
              <w:t>10</w:t>
            </w:r>
          </w:p>
        </w:tc>
      </w:tr>
      <w:tr>
        <w:tc>
          <w:tcPr>
            <w:tcW w:type="dxa" w:w="5112"/>
          </w:tcPr>
          <w:p>
            <w:r>
              <w:t>Absent evidence</w:t>
            </w:r>
          </w:p>
        </w:tc>
        <w:tc>
          <w:tcPr>
            <w:tcW w:type="dxa" w:w="5112"/>
          </w:tcPr>
          <w:p>
            <w:r>
              <w:t>0</w:t>
            </w:r>
          </w:p>
        </w:tc>
      </w:tr>
      <w:tr>
        <w:tc>
          <w:tcPr>
            <w:tcW w:type="dxa" w:w="5112"/>
          </w:tcPr>
          <w:p>
            <w:r>
              <w:t>Ambiguity</w:t>
            </w:r>
          </w:p>
        </w:tc>
        <w:tc>
          <w:tcPr>
            <w:tcW w:type="dxa" w:w="5112"/>
          </w:tcPr>
          <w:p>
            <w:r>
              <w:t>0</w:t>
            </w:r>
          </w:p>
        </w:tc>
      </w:tr>
      <w:tr>
        <w:tc>
          <w:tcPr>
            <w:tcW w:type="dxa" w:w="5112"/>
          </w:tcPr>
          <w:p>
            <w:r>
              <w:t>Boundary handling</w:t>
            </w:r>
          </w:p>
        </w:tc>
        <w:tc>
          <w:tcPr>
            <w:tcW w:type="dxa" w:w="5112"/>
          </w:tcPr>
          <w:p>
            <w:r>
              <w:t>0</w:t>
            </w:r>
          </w:p>
        </w:tc>
      </w:tr>
    </w:tbl>
    <w:p>
      <w:pPr>
        <w:pStyle w:val="Heading2"/>
      </w:pPr>
      <w:r>
        <w:t>Earlier wording, alternatives and picture transcripts · reference / check after trying</w:t>
      </w:r>
    </w:p>
    <w:p>
      <w:pPr>
        <w:pStyle w:val="Heading3"/>
      </w:pPr>
      <w:r>
        <w:t>Week 26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Empty evaluation categories reveal gaps</w:t>
      </w:r>
    </w:p>
    <w:p>
      <w:pPr>
        <w:spacing w:line="336" w:lineRule="auto" w:after="180"/>
      </w:pPr>
      <w:r>
        <w:rPr>
          <w:b w:val="0"/>
        </w:rPr>
        <w:t>Ten evaluation questions are easy definitions; none lacks a source.</w:t>
      </w:r>
    </w:p>
    <w:p>
      <w:pPr>
        <w:spacing w:line="336" w:lineRule="auto" w:after="180"/>
      </w:pPr>
      <w:r>
        <w:rPr>
          <w:b w:val="0"/>
        </w:rPr>
        <w:t>What is untested?</w:t>
      </w:r>
    </w:p>
    <w:p>
      <w:pPr>
        <w:spacing w:line="336" w:lineRule="auto" w:after="180"/>
      </w:pPr>
      <w:r>
        <w:rPr>
          <w:b w:val="0"/>
        </w:rPr>
        <w:t xml:space="preserve">Absent </w:t>
      </w:r>
      <w:r>
        <w:rPr>
          <w:b/>
        </w:rPr>
        <w:t>evidence</w:t>
      </w:r>
      <w:r>
        <w:rPr>
          <w:b w:val="0"/>
        </w:rPr>
        <w:t>, ambiguity and boundary handling. Add predefined fallback cases and keep final cases separate from tuning.</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system evaluation sets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Design an </w:t>
      </w:r>
      <w:r>
        <w:rPr>
          <w:b/>
        </w:rPr>
        <w:t>evaluation set</w:t>
      </w:r>
      <w:r>
        <w:rPr>
          <w:b w:val="0"/>
        </w:rPr>
        <w:t xml:space="preserve"> that checks answering and appropriate uncertainty separately.</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Design an evaluation set that checks answering and appropriate uncertainty separately.</w:t>
      </w:r>
    </w:p>
    <w:p>
      <w:pPr>
        <w:pStyle w:val="Heading3"/>
      </w:pPr>
      <w:r>
        <w:t>Practice 1: explain the deciding evidence</w:t>
      </w:r>
    </w:p>
    <w:p>
      <w:pPr>
        <w:pStyle w:val="ListBullet"/>
      </w:pPr>
      <w:r>
        <w:t>Which labelled step matches this detail? Five of six pass overall; the perfect missing-evidence group hides one answering failure if only totals are discussed.</w:t>
      </w:r>
    </w:p>
    <w:p>
      <w:pPr>
        <w:pStyle w:val="ListBullet"/>
      </w:pPr>
      <w:r>
        <w:t>1. Separate cases</w:t>
      </w:r>
    </w:p>
    <w:p>
      <w:pPr>
        <w:pStyle w:val="ListBullet"/>
      </w:pPr>
      <w:r>
        <w:t>2. Calculate rates</w:t>
      </w:r>
    </w:p>
    <w:p>
      <w:pPr>
        <w:pStyle w:val="ListBullet"/>
      </w:pPr>
      <w:r>
        <w:t>3. Report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Report total Five of six pass overall; the perfect missing-evidence group hides one answering failure if only totals are discussed. 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2"/>
      </w:pPr>
      <w:r>
        <w:t>Check after trying · reference / check after trying</w:t>
      </w:r>
    </w:p>
    <w:p>
      <w:pPr>
        <w:pStyle w:val="Heading3"/>
      </w:pPr>
      <w:r>
        <w:t>Practice 2: explain the deciding evidence</w:t>
      </w:r>
    </w:p>
    <w:p>
      <w:pPr>
        <w:pStyle w:val="Heading2"/>
      </w:pPr>
      <w:r>
        <w:t>Changed-case question</w:t>
      </w:r>
    </w:p>
    <w:p>
      <w:pPr>
        <w:pStyle w:val="ListBullet"/>
      </w:pPr>
      <w:r>
        <w:t>Changed-case practice: Add three missing-evidence cases that all pass. Which conclusion is supported by the supplied facts?</w:t>
      </w:r>
    </w:p>
    <w:p>
      <w:pPr>
        <w:pStyle w:val="ListBullet"/>
      </w:pPr>
      <w:r>
        <w:t>1. We can decide the result without examining the changed input or the procedure.</w:t>
      </w:r>
    </w:p>
    <w:p>
      <w:pPr>
        <w:pStyle w:val="ListBullet"/>
      </w:pPr>
      <w:r>
        <w:t>2. Overall becomes 8/9, but supported answering remains 2/3.</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Overall becomes 8/9, but supported answering remains 2/3. Changing the case mixture raises the pooled rate without improving any existing answerable result.</w:t>
      </w:r>
    </w:p>
    <w:p>
      <w:pPr>
        <w:pStyle w:val="Heading2"/>
      </w:pPr>
      <w:r>
        <w:t>Check changed case · reference / check after trying</w:t>
      </w:r>
    </w:p>
    <w:p>
      <w:pPr>
        <w:pStyle w:val="Heading3"/>
      </w:pPr>
      <w:r>
        <w:t>Repair a missing building block</w:t>
      </w:r>
    </w:p>
    <w:p>
      <w:pPr>
        <w:pStyle w:val="Heading2"/>
      </w:pPr>
      <w:r>
        <w:t>Repair and keep evidence</w:t>
      </w:r>
    </w:p>
    <w:p>
      <w:pPr>
        <w:spacing w:line="336" w:lineRule="auto" w:after="180"/>
      </w:pPr>
      <w:r>
        <w:rPr>
          <w:b w:val="0"/>
        </w:rPr>
        <w:t xml:space="preserve">Review Quality Rubrics (ai-3/25). Goal: Judge an output using separate observable rubric criteria. Short practice: Why is “one out of two checks passed” an insufficient release decision? 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Block to Python Bridge (ai-3/23). Goal: Translate a short paper calculation into a Python script. Short practice: Trace the changed list and identify where the result differs.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 The six-picture journey</w:t>
      </w:r>
    </w:p>
    <w:p>
      <w:r>
        <w:t>Revisit the picture that serves the current question.</w:t>
      </w:r>
    </w:p>
    <w:p>
      <w:pPr>
        <w:pStyle w:val="Heading2"/>
      </w:pPr>
      <w:r>
        <w:t>01. Evaluation Sets: the case</w:t>
      </w:r>
    </w:p>
    <w:p>
      <w:r>
        <w:drawing>
          <wp:inline xmlns:a="http://schemas.openxmlformats.org/drawingml/2006/main" xmlns:pic="http://schemas.openxmlformats.org/drawingml/2006/picture">
            <wp:extent cx="5486400" cy="3142488"/>
            <wp:docPr id="28" name="Picture 28" descr="Design an evaluation set that checks answering and appropriate uncertainty separately. Supplied facts: Six toy questions: three have source answers and three do not. Results: 2 supported answers out of 3; 3 correct “not in source” responses out of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6-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 xml:space="preserve">Design an </w:t>
      </w:r>
      <w:r>
        <w:rPr>
          <w:b/>
        </w:rPr>
        <w:t>evaluation set</w:t>
      </w:r>
      <w:r>
        <w:rPr>
          <w:b w:val="0"/>
        </w:rPr>
        <w:t xml:space="preserve"> that checks answering and appropriate uncertainty separately. Supplied facts: Six toy questions: three have source answers and three do not.</w:t>
      </w:r>
    </w:p>
    <w:p>
      <w:pPr>
        <w:spacing w:line="336" w:lineRule="auto" w:after="180"/>
      </w:pPr>
      <w:r>
        <w:rPr>
          <w:b w:val="0"/>
        </w:rPr>
        <w:t xml:space="preserve">Results: 2 supported answers out of 3; 3 correct “not in source” responses out of 3.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Separate cases: Keep answerable and missing-evidence cases as different groups. → Calculate rates: Answering: 2/3. Appropriate uncertainty: 3/3. →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story-ai-3-26-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Separate cases: Keep answerable and missing-</w:t>
      </w:r>
      <w:r>
        <w:rPr>
          <w:b/>
        </w:rPr>
        <w:t>evidence</w:t>
      </w:r>
      <w:r>
        <w:rPr>
          <w:b w:val="0"/>
        </w:rPr>
        <w:t xml:space="preserve"> cases as different groups. → Calculate rates: Answering: 2/3.</w:t>
      </w:r>
    </w:p>
    <w:p>
      <w:pPr>
        <w:spacing w:line="336" w:lineRule="auto" w:after="180"/>
      </w:pPr>
      <w:r>
        <w:rPr>
          <w:b w:val="0"/>
        </w:rPr>
        <w:t>Appropriate uncertainty: 3/3. → Report total: Five of six pass overall; the perfect missing-</w:t>
      </w:r>
      <w:r>
        <w:rPr>
          <w:b/>
        </w:rPr>
        <w:t>evidence</w:t>
      </w:r>
      <w:r>
        <w:rPr>
          <w:b w:val="0"/>
        </w:rPr>
        <w:t xml:space="preserve"> group hides one answering failure if only totals are discussed.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System evaluation sets — evidence trace</w:t>
      </w:r>
    </w:p>
    <w:p>
      <w:r>
        <w:drawing>
          <wp:inline xmlns:a="http://schemas.openxmlformats.org/drawingml/2006/main" xmlns:pic="http://schemas.openxmlformats.org/drawingml/2006/picture">
            <wp:extent cx="5486400" cy="3145536"/>
            <wp:docPr id="30" name="Picture 30"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6-03.png"/>
                    <pic:cNvPicPr/>
                  </pic:nvPicPr>
                  <pic:blipFill>
                    <a:blip r:embed="rId3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w:t>
      </w:r>
      <w:r>
        <w:rPr>
          <w:b/>
        </w:rPr>
        <w:t>evaluation set</w:t>
      </w:r>
      <w:r>
        <w:rPr>
          <w:b w:val="0"/>
        </w:rPr>
        <w:t xml:space="preserve">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343656"/>
            <wp:docPr id="31" name="Picture 31" descr="Original case: Five of six pass overall; the perfect missing-evidence group hides one answering failure if only totals are discussed. Changed condition: Add three missing-evidence cases that all pass. Expected result: Overall becomes 8/9, but supported answering remains 2/3. Reason: Changing the case mixture raises the pooled rate without improving any existing answerable result."/>
            <wp:cNvGraphicFramePr>
              <a:graphicFrameLocks noChangeAspect="1"/>
            </wp:cNvGraphicFramePr>
            <a:graphic>
              <a:graphicData uri="http://schemas.openxmlformats.org/drawingml/2006/picture">
                <pic:pic>
                  <pic:nvPicPr>
                    <pic:cNvPr id="0" name="academy-story-ai-3-26-04.png"/>
                    <pic:cNvPicPr/>
                  </pic:nvPicPr>
                  <pic:blipFill>
                    <a:blip r:embed="rId18"/>
                    <a:stretch>
                      <a:fillRect/>
                    </a:stretch>
                  </pic:blipFill>
                  <pic:spPr>
                    <a:xfrm>
                      <a:off x="0" y="0"/>
                      <a:ext cx="5486400" cy="3343656"/>
                    </a:xfrm>
                    <a:prstGeom prst="rect"/>
                  </pic:spPr>
                </pic:pic>
              </a:graphicData>
            </a:graphic>
          </wp:inline>
        </w:drawing>
      </w:r>
    </w:p>
    <w:p>
      <w:pPr>
        <w:spacing w:line="336" w:lineRule="auto" w:after="180"/>
      </w:pPr>
      <w:r>
        <w:rPr>
          <w:b w:val="0"/>
        </w:rPr>
        <w:t>Original case: Five of six pass overall; the perfect missing-</w:t>
      </w:r>
      <w:r>
        <w:rPr>
          <w:b/>
        </w:rPr>
        <w:t>evidence</w:t>
      </w:r>
      <w:r>
        <w:rPr>
          <w:b w:val="0"/>
        </w:rPr>
        <w:t xml:space="preserve"> group hides one answering failure if only totals are discussed. Changed condition: Add three missing-</w:t>
      </w:r>
      <w:r>
        <w:rPr>
          <w:b/>
        </w:rPr>
        <w:t>evidence</w:t>
      </w:r>
      <w:r>
        <w:rPr>
          <w:b w:val="0"/>
        </w:rPr>
        <w:t xml:space="preserve"> cases that all pass.</w:t>
      </w:r>
    </w:p>
    <w:p>
      <w:pPr>
        <w:spacing w:line="336" w:lineRule="auto" w:after="180"/>
      </w:pPr>
      <w:r>
        <w:rPr>
          <w:b w:val="0"/>
        </w:rPr>
        <w:t>Expected result: Overall becomes 8/9, but supported answering remains 2/3. Reason: Changing the case mixture raises the pooled rate without improving any existing answerable result.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 Limit: A small constructed set probes specific behaviours; its pooled rate is not an estimate of every future classroom question."/>
            <wp:cNvGraphicFramePr>
              <a:graphicFrameLocks noChangeAspect="1"/>
            </wp:cNvGraphicFramePr>
            <a:graphic>
              <a:graphicData uri="http://schemas.openxmlformats.org/drawingml/2006/picture">
                <pic:pic>
                  <pic:nvPicPr>
                    <pic:cNvPr id="0" name="academy-story-ai-3-2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small constructed set probes specific behaviours; its pooled rate is not an estimate of every future classroom question.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id the added cases demonstrate better answer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6-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added cases demonstrate better answering?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Evaluation Sets: the case</w:t>
      </w:r>
    </w:p>
    <w:p>
      <w:pPr>
        <w:pStyle w:val="Heading3"/>
      </w:pPr>
      <w:r>
        <w:t>02. Follow the deciding steps</w:t>
      </w:r>
    </w:p>
    <w:p>
      <w:pPr>
        <w:pStyle w:val="Heading3"/>
      </w:pPr>
      <w:r>
        <w:t>03. System evaluation sets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