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ai-3/30</w:t>
      </w:r>
    </w:p>
    <w:p>
      <w:pPr>
        <w:pStyle w:val="Title"/>
      </w:pPr>
      <w:r>
        <w:t>Bias and Representation</w:t>
      </w:r>
    </w:p>
    <w:p>
      <w:r>
        <w:t>Project: Verified Study Buddy</w:t>
      </w:r>
    </w:p>
    <w:p>
      <w:pPr>
        <w:pStyle w:val="Heading1"/>
      </w:pPr>
      <w:r>
        <w:t>Define the task. Keep the denominator. Inspect the missing cases.</w:t>
      </w:r>
    </w:p>
    <w:p>
      <w:r>
        <w:t>Audit representation and uneven quality without treating counts as causal explanations.</w:t>
      </w:r>
    </w:p>
    <w:p>
      <w:r>
        <w:t>Audit contract → Birch/Pine rates → six paired outputs → error inspection → independent C/D comparison.</w:t>
      </w:r>
    </w:p>
    <w:p>
      <w:pPr>
        <w:pStyle w:val="Heading1"/>
      </w:pPr>
      <w:r>
        <w:t>01. Whose cases are represented, and what does quality mean?</w:t>
      </w:r>
    </w:p>
    <w:p>
      <w:r>
        <w:t>Compare defined outcomes without inventing an explanation for a difference.</w:t>
      </w:r>
    </w:p>
    <w:p>
      <w:pPr>
        <w:pStyle w:val="Heading2"/>
      </w:pPr>
      <w:r>
        <w:t>Your learning goals</w:t>
      </w:r>
    </w:p>
    <w:p>
      <w:pPr>
        <w:spacing w:line="336" w:lineRule="auto" w:after="180"/>
      </w:pPr>
      <w:r>
        <w:rPr>
          <w:b w:val="0"/>
        </w:rPr>
        <w:t xml:space="preserve">I can explain the </w:t>
      </w:r>
      <w:r>
        <w:rPr>
          <w:b/>
        </w:rPr>
        <w:t>mechanism</w:t>
      </w:r>
      <w:r>
        <w:rPr>
          <w:b w:val="0"/>
        </w:rPr>
        <w:t xml:space="preserve"> and terminology of </w:t>
      </w:r>
      <w:r>
        <w:rPr>
          <w:b/>
        </w:rPr>
        <w:t>representation</w:t>
      </w:r>
      <w:r>
        <w:rPr>
          <w:b w:val="0"/>
        </w:rPr>
        <w:t xml:space="preserve"> and bias evaluation.</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Recall criteria and denominators</w:t>
      </w:r>
    </w:p>
    <w:p>
      <w:pPr>
        <w:pStyle w:val="ListBullet"/>
      </w:pPr>
      <w:r>
        <w:t>Close your notes first. A rough first answer helps us choose the right starting point; it is not a score for your ability.</w:t>
      </w:r>
    </w:p>
    <w:p>
      <w:pPr>
        <w:pStyle w:val="ListBullet"/>
      </w:pPr>
      <w:r>
        <w:t>Recall Quality Rubrics and Evaluation Sets: declare the quality criterion and denominator before comparing outputs. Equal totals can hide different rates, and equal rates can hide different error types.</w:t>
      </w:r>
    </w:p>
    <w:p>
      <w:pPr>
        <w:pStyle w:val="Heading2"/>
      </w:pPr>
      <w:r>
        <w:t>Your end goal</w:t>
      </w:r>
    </w:p>
    <w:p>
      <w:pPr>
        <w:spacing w:line="336" w:lineRule="auto" w:after="180"/>
      </w:pPr>
      <w:r>
        <w:rPr>
          <w:b w:val="0"/>
        </w:rPr>
        <w:t xml:space="preserve">By the end, I can explain bias and </w:t>
      </w:r>
      <w:r>
        <w:rPr>
          <w:b/>
        </w:rPr>
        <w:t>representation</w:t>
      </w:r>
      <w:r>
        <w:rPr>
          <w:b w:val="0"/>
        </w:rPr>
        <w:t xml:space="preserve">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Copyright and Provenance. Give an example and a mistake that the idea helps you avoid.</w:t>
      </w:r>
    </w:p>
    <w:p>
      <w:pPr>
        <w:spacing w:line="336" w:lineRule="auto" w:after="180"/>
      </w:pPr>
      <w:r>
        <w:rPr>
          <w:b w:val="0"/>
        </w:rPr>
        <w:t>Without opening the old lesson, explain one key idea from Red Team the Product. Give an example and a mistake that the idea helps you avoid.</w:t>
      </w:r>
    </w:p>
    <w:p>
      <w:pPr>
        <w:spacing w:line="336" w:lineRule="auto" w:after="180"/>
      </w:pPr>
      <w:r>
        <w:rPr>
          <w:b w:val="0"/>
        </w:rPr>
        <w:t>Without opening the old lesson, explain one key idea from Prototype a Grounded Assistant.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30: Bias and </w:t>
      </w:r>
      <w:r>
        <w:rPr>
          <w:b/>
        </w:rPr>
        <w:t>Representation</w:t>
      </w:r>
    </w:p>
    <w:p>
      <w:pPr>
        <w:spacing w:line="336" w:lineRule="auto" w:after="180"/>
      </w:pPr>
      <w:r>
        <w:rPr>
          <w:b/>
        </w:rPr>
        <w:t>Output</w:t>
      </w:r>
      <w:r>
        <w:rPr>
          <w:b w:val="0"/>
        </w:rPr>
        <w:t>s should be tested for omission, stereotyping, and uneven quality.</w:t>
      </w:r>
    </w:p>
    <w:p>
      <w:r>
        <w:drawing>
          <wp:inline xmlns:a="http://schemas.openxmlformats.org/drawingml/2006/main" xmlns:pic="http://schemas.openxmlformats.org/drawingml/2006/picture">
            <wp:extent cx="2942705" cy="2942705"/>
            <wp:docPr id="1" name="Picture 1" descr="Week 30 illustration: Bias and Representation"/>
            <wp:cNvGraphicFramePr>
              <a:graphicFrameLocks noChangeAspect="1"/>
            </wp:cNvGraphicFramePr>
            <a:graphic>
              <a:graphicData uri="http://schemas.openxmlformats.org/drawingml/2006/picture">
                <pic:pic>
                  <pic:nvPicPr>
                    <pic:cNvPr id="0" name="e408f07f0c4e886919b4eb9c26b143e962333c18af0b0c71dd1557d88da63309.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rPr>
        <w:t>Audit</w:t>
      </w:r>
      <w:r>
        <w:rPr>
          <w:b w:val="0"/>
        </w:rPr>
        <w:t xml:space="preserve"> a character generator across varied prompts.</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Define the task before interpreting a group difference</w:t>
      </w:r>
    </w:p>
    <w:p>
      <w:r>
        <w:t>A count, a rate and a causal explanation are different claims.</w:t>
      </w:r>
    </w:p>
    <w:p>
      <w:pPr>
        <w:pStyle w:val="Heading2"/>
      </w:pPr>
      <w:r>
        <w:t>Understand representation and outcome audits</w:t>
      </w:r>
    </w:p>
    <w:p>
      <w:pPr>
        <w:spacing w:line="336" w:lineRule="auto" w:after="180"/>
      </w:pPr>
      <w:r>
        <w:rPr>
          <w:b w:val="0"/>
        </w:rPr>
        <w:t>Representation asks which situations and perspectives appear in a dataset or output set, and which are missing. A bias audit examines defined patterns such as omissions, unsupported assumptions or uneven task quality. Group rates can reveal a difference worth investigating, but they do not identify its cause or settle every fairness question.</w:t>
      </w:r>
    </w:p>
    <w:p>
      <w:pPr>
        <w:spacing w:line="336" w:lineRule="auto" w:after="180"/>
      </w:pPr>
      <w:r>
        <w:rPr>
          <w:b w:val="0"/>
        </w:rPr>
        <w:t>Use fictional, non-identifying practice records and criteria tied to the task. Do not infer a person’s identity from a name or appearance.</w:t>
      </w:r>
    </w:p>
    <w:p>
      <w:pPr>
        <w:spacing w:line="336" w:lineRule="auto" w:after="180"/>
      </w:pPr>
      <w:r>
        <w:rPr>
          <w:b w:val="0"/>
        </w:rPr>
        <w:t>Bias evaluation tests defined outcomes across relevant conditions. Group averages can expose differences but cannot alone establish their cause or the correct remedy.</w:t>
      </w:r>
    </w:p>
    <w:p>
      <w:pPr>
        <w:pStyle w:val="Heading2"/>
      </w:pPr>
      <w:r>
        <w:t>Use supplied fictional records</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Bias and Representation"/>
            <wp:cNvGraphicFramePr>
              <a:graphicFrameLocks noChangeAspect="1"/>
            </wp:cNvGraphicFramePr>
            <a:graphic>
              <a:graphicData uri="http://schemas.openxmlformats.org/drawingml/2006/picture">
                <pic:pic>
                  <pic:nvPicPr>
                    <pic:cNvPr id="0" name="e408f07f0c4e886919b4eb9c26b143e962333c18af0b0c71dd1557d88da63309.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bias and </w:t>
      </w:r>
      <w:r>
        <w:rPr>
          <w:b/>
        </w:rPr>
        <w:t>representation</w:t>
      </w:r>
      <w:r>
        <w:rPr>
          <w:b w:val="0"/>
        </w:rPr>
        <w:t xml:space="preserve">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Write the comparison contract before scoring</w:t>
      </w:r>
    </w:p>
    <w:p>
      <w:r>
        <w:t>Keep small samples and unknown case differences visible.</w:t>
      </w:r>
    </w:p>
    <w:p>
      <w:pPr>
        <w:pStyle w:val="Heading2"/>
      </w:pPr>
      <w:r>
        <w:t>The complete audit checklist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Audit question</w:t>
            </w:r>
          </w:p>
        </w:tc>
        <w:tc>
          <w:tcPr>
            <w:tcW w:type="dxa" w:w="5112"/>
          </w:tcPr>
          <w:p>
            <w:r>
              <w:t>What to preserve</w:t>
            </w:r>
          </w:p>
        </w:tc>
      </w:tr>
      <w:tr>
        <w:tc>
          <w:tcPr>
            <w:tcW w:type="dxa" w:w="5112"/>
          </w:tcPr>
          <w:p>
            <w:r>
              <w:t>Task and outcome</w:t>
            </w:r>
          </w:p>
        </w:tc>
        <w:tc>
          <w:tcPr>
            <w:tcW w:type="dxa" w:w="5112"/>
          </w:tcPr>
          <w:p>
            <w:r>
              <w:t>What counts as supported, useful or complete for this question?</w:t>
            </w:r>
          </w:p>
        </w:tc>
      </w:tr>
      <w:tr>
        <w:tc>
          <w:tcPr>
            <w:tcW w:type="dxa" w:w="5112"/>
          </w:tcPr>
          <w:p>
            <w:r>
              <w:t>Groups or conditions</w:t>
            </w:r>
          </w:p>
        </w:tc>
        <w:tc>
          <w:tcPr>
            <w:tcW w:type="dxa" w:w="5112"/>
          </w:tcPr>
          <w:p>
            <w:r>
              <w:t>Why are these labels relevant; what do they actually mean?</w:t>
            </w:r>
          </w:p>
        </w:tc>
      </w:tr>
      <w:tr>
        <w:tc>
          <w:tcPr>
            <w:tcW w:type="dxa" w:w="5112"/>
          </w:tcPr>
          <w:p>
            <w:r>
              <w:t>Denominators</w:t>
            </w:r>
          </w:p>
        </w:tc>
        <w:tc>
          <w:tcPr>
            <w:tcW w:type="dxa" w:w="5112"/>
          </w:tcPr>
          <w:p>
            <w:r>
              <w:t>How many cases in each group and how many pass?</w:t>
            </w:r>
          </w:p>
        </w:tc>
      </w:tr>
      <w:tr>
        <w:tc>
          <w:tcPr>
            <w:tcW w:type="dxa" w:w="5112"/>
          </w:tcPr>
          <w:p>
            <w:r>
              <w:t>Error types</w:t>
            </w:r>
          </w:p>
        </w:tc>
        <w:tc>
          <w:tcPr>
            <w:tcW w:type="dxa" w:w="5112"/>
          </w:tcPr>
          <w:p>
            <w:r>
              <w:t>Which exact claims, omissions or fallbacks failed?</w:t>
            </w:r>
          </w:p>
        </w:tc>
      </w:tr>
      <w:tr>
        <w:tc>
          <w:tcPr>
            <w:tcW w:type="dxa" w:w="5112"/>
          </w:tcPr>
          <w:p>
            <w:r>
              <w:t>Case comparability</w:t>
            </w:r>
          </w:p>
        </w:tc>
        <w:tc>
          <w:tcPr>
            <w:tcW w:type="dxa" w:w="5112"/>
          </w:tcPr>
          <w:p>
            <w:r>
              <w:t>Difficulty, source coverage, prompt wording and annotation rules</w:t>
            </w:r>
          </w:p>
        </w:tc>
      </w:tr>
      <w:tr>
        <w:tc>
          <w:tcPr>
            <w:tcW w:type="dxa" w:w="5112"/>
          </w:tcPr>
          <w:p>
            <w:r>
              <w:t>Bounded conclusion</w:t>
            </w:r>
          </w:p>
        </w:tc>
        <w:tc>
          <w:tcPr>
            <w:tcW w:type="dxa" w:w="5112"/>
          </w:tcPr>
          <w:p>
            <w:r>
              <w:t>Observed difference or missing coverage; no invented causal story</w:t>
            </w:r>
          </w:p>
        </w:tc>
      </w:tr>
      <w:tr>
        <w:tc>
          <w:tcPr>
            <w:tcW w:type="dxa" w:w="5112"/>
          </w:tcPr>
          <w:p>
            <w:r>
              <w:t>Proposed revision</w:t>
            </w:r>
          </w:p>
        </w:tc>
        <w:tc>
          <w:tcPr>
            <w:tcW w:type="dxa" w:w="5112"/>
          </w:tcPr>
          <w:p>
            <w:r>
              <w:t>One controlled change and a fresh matched retest plan, not an invented improvement</w:t>
            </w:r>
          </w:p>
        </w:tc>
      </w:tr>
    </w:tbl>
    <w:p>
      <w:pPr>
        <w:spacing w:line="336" w:lineRule="auto" w:after="180"/>
      </w:pPr>
      <w:r>
        <w:rPr>
          <w:b w:val="0"/>
        </w:rPr>
        <w:t>Define the task, relevant groups, labels and denominators before comparing. Use fictional, non-identifying records. Evaluate quality and fallback outcomes separately; preserve sample sizes and unresolved explanations.</w:t>
      </w:r>
    </w:p>
    <w:p>
      <w:pPr>
        <w:pStyle w:val="Heading2"/>
      </w:pPr>
      <w:r>
        <w:t>Respect scope and missing inputs</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deciding check</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Bias and Representation"/>
            <wp:cNvGraphicFramePr>
              <a:graphicFrameLocks noChangeAspect="1"/>
            </wp:cNvGraphicFramePr>
            <a:graphic>
              <a:graphicData uri="http://schemas.openxmlformats.org/drawingml/2006/picture">
                <pic:pic>
                  <pic:nvPicPr>
                    <pic:cNvPr id="0" name="f9b51a84c97891f817a788b3c191cc09bf3aae54695282ef1230bd6a67f47184.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Bias and Representation"/>
            <wp:cNvGraphicFramePr>
              <a:graphicFrameLocks noChangeAspect="1"/>
            </wp:cNvGraphicFramePr>
            <a:graphic>
              <a:graphicData uri="http://schemas.openxmlformats.org/drawingml/2006/picture">
                <pic:pic>
                  <pic:nvPicPr>
                    <pic:cNvPr id="0" name="1f5099cc910cf960aa4376548d668f3fefb2ccb26faf14919470b3796bb2ca31.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Bias and Representation"/>
            <wp:cNvGraphicFramePr>
              <a:graphicFrameLocks noChangeAspect="1"/>
            </wp:cNvGraphicFramePr>
            <a:graphic>
              <a:graphicData uri="http://schemas.openxmlformats.org/drawingml/2006/picture">
                <pic:pic>
                  <pic:nvPicPr>
                    <pic:cNvPr id="0" name="a2c26d14f2aa3e4b0f62db9c9abb3e0fc3446d9910b004a0baf070d1f0327ae1.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Representation and bias evaluation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grounded assistant supports 9 of 10 group-A cases and 6 of 10 group-B cases.</w:t>
            </w:r>
          </w:p>
        </w:tc>
        <w:tc>
          <w:tcPr>
            <w:tcW w:type="dxa" w:w="3408"/>
          </w:tcPr>
          <w:p>
            <w:r>
              <w:t>Define the task, relevant groups, labels and denominators before comparing. Use fictional, non-identifying records. Evaluate quality and fallback outcomes separately; preserve sample sizes and unresolved explanations.</w:t>
            </w:r>
          </w:p>
        </w:tc>
        <w:tc>
          <w:tcPr>
            <w:tcW w:type="dxa" w:w="3408"/>
          </w:tcPr>
          <w:p>
            <w:r>
              <w:t>Rates 90% and 60%; gap 30 percentage points. Investigate case mix, retrieval coverage and annotation rules before attributing cause.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Compare raw totals, rates and error patterns</w:t>
      </w:r>
    </w:p>
    <w:p>
      <w:r>
        <w:t>A larger group can have more successes and a lower success rate.</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Pine instead has 6 supported answers out of 12.</w:t>
      </w:r>
    </w:p>
    <w:p>
      <w:pPr>
        <w:pStyle w:val="Heading2"/>
      </w:pPr>
      <w:r>
        <w:t>Check after predicting · reference / check after trying</w:t>
      </w:r>
    </w:p>
    <w:p>
      <w:pPr>
        <w:spacing w:line="336" w:lineRule="auto" w:after="180"/>
      </w:pPr>
      <w:r>
        <w:rPr>
          <w:b/>
        </w:rPr>
        <w:t>Prediction</w:t>
      </w:r>
      <w:r>
        <w:rPr>
          <w:b w:val="0"/>
        </w:rPr>
        <w:t>: Pine is 50%, which is 25 percentage points below Birch.</w:t>
      </w:r>
    </w:p>
    <w:p>
      <w:pPr>
        <w:spacing w:line="336" w:lineRule="auto" w:after="180"/>
      </w:pPr>
      <w:r>
        <w:rPr>
          <w:b w:val="0"/>
        </w:rPr>
        <w:t>Reason: Equal correct counts do not imply equal rates when denominators differ.</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Trace why equal rates can have different counts</w:t>
      </w:r>
    </w:p>
    <w:p>
      <w:r>
        <w:t>Preserve the group sizes before interpreting the result.</w:t>
      </w:r>
    </w:p>
    <w:p>
      <w:pPr>
        <w:pStyle w:val="Heading2"/>
      </w:pPr>
      <w:r>
        <w:t>Read the complete Birch/Pine outcomes</w:t>
      </w:r>
    </w:p>
    <w:p>
      <w:pPr>
        <w:spacing w:line="336" w:lineRule="auto" w:after="180"/>
      </w:pPr>
      <w:r>
        <w:rPr>
          <w:b w:val="0"/>
        </w:rPr>
        <w:t>Compare study-answer support rates when groups have different numbers of questions.</w:t>
      </w:r>
    </w:p>
    <w:p>
      <w:pPr>
        <w:spacing w:line="336" w:lineRule="auto" w:after="180"/>
      </w:pPr>
      <w:r>
        <w:rPr>
          <w:b w:val="0"/>
        </w:rPr>
        <w:t>Group Birch has 6 supported answers in 8 cases; group Pine has 9 supported answers in 12 cases. Both groups use the same support rubric.</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Birch and Pine are arbitrary fictional case-group labels, not demographic descriptions. Birch 6/8 and Pine 9/12 both equal 75%; failures are 2 and 3. Changed Pine 6/12 is 50%, 25 percentage points below Birch. A percentage-point gap subtracts rates: 75%-50%=25 points; it is not the same as a relative percent change. No source coverage, difficulty matching or causal mechanism is supplied.</w:t>
      </w:r>
    </w:p>
    <w:p>
      <w:pPr>
        <w:pStyle w:val="Heading2"/>
      </w:pPr>
      <w:r>
        <w:t>Trace denominators, rates and failures</w:t>
      </w:r>
    </w:p>
    <w:p>
      <w:r>
        <w:drawing>
          <wp:inline xmlns:a="http://schemas.openxmlformats.org/drawingml/2006/main" xmlns:pic="http://schemas.openxmlformats.org/drawingml/2006/picture">
            <wp:extent cx="5486400" cy="3493008"/>
            <wp:docPr id="14" name="Picture 14" descr="Keep denominators: Birch: 6/8. Pine: 9/12. → Compare rates: Both support rates are 75%; Pine has more correct answers because it has more cases. →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story-ai-3-30-02.png"/>
                    <pic:cNvPicPr/>
                  </pic:nvPicPr>
                  <pic:blipFill>
                    <a:blip r:embed="rId17"/>
                    <a:stretch>
                      <a:fillRect/>
                    </a:stretch>
                  </pic:blipFill>
                  <pic:spPr>
                    <a:xfrm>
                      <a:off x="0" y="0"/>
                      <a:ext cx="5486400" cy="3493008"/>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denominators</w:t>
            </w:r>
          </w:p>
        </w:tc>
        <w:tc>
          <w:tcPr>
            <w:tcW w:type="dxa" w:w="5112"/>
          </w:tcPr>
          <w:p>
            <w:r>
              <w:t>Birch: 6/8. Pine: 9/12.</w:t>
            </w:r>
          </w:p>
        </w:tc>
      </w:tr>
      <w:tr>
        <w:tc>
          <w:tcPr>
            <w:tcW w:type="dxa" w:w="5112"/>
          </w:tcPr>
          <w:p>
            <w:r>
              <w:t>2. Compare rates</w:t>
            </w:r>
          </w:p>
        </w:tc>
        <w:tc>
          <w:tcPr>
            <w:tcW w:type="dxa" w:w="5112"/>
          </w:tcPr>
          <w:p>
            <w:r>
              <w:t>Both support rates are 75%; Pine has more correct answers because it has more cases.</w:t>
            </w:r>
          </w:p>
        </w:tc>
      </w:tr>
      <w:tr>
        <w:tc>
          <w:tcPr>
            <w:tcW w:type="dxa" w:w="5112"/>
          </w:tcPr>
          <w:p>
            <w:r>
              <w:t>3. Inspect errors</w:t>
            </w:r>
          </w:p>
        </w:tc>
        <w:tc>
          <w:tcPr>
            <w:tcW w:type="dxa" w:w="5112"/>
          </w:tcPr>
          <w:p>
            <w:r>
              <w:t>Check the two Birch and three Pine failures before deciding what revision each needs.</w:t>
            </w:r>
          </w:p>
        </w:tc>
      </w:tr>
    </w:tbl>
    <w:p>
      <w:r>
        <w:t>Match each pictured step to the supplied facts. This is a worked teaching case, not an independent assessment.</w:t>
      </w:r>
    </w:p>
    <w:p>
      <w:pPr>
        <w:spacing w:line="336" w:lineRule="auto" w:after="180"/>
      </w:pPr>
      <w:r>
        <w:rPr>
          <w:b w:val="0"/>
        </w:rPr>
        <w:t xml:space="preserve">Read the picture in order. Check the two Birch and three Pine failures before deciding what revision each needs.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the revised Pine count</w:t>
      </w:r>
    </w:p>
    <w:p>
      <w:pPr>
        <w:pStyle w:val="ListBullet"/>
      </w:pPr>
      <w:r>
        <w:t>Change one thing: Pine instead has 6 supported answers out of 12.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Check the two Birch and three Pine failures before deciding what revision each needs. Changed condition: Pine instead has 6 supported answers out of 12. Expected result: Pine is 50%, which is 25 percentage points below Birch. Reason: Equal correct counts do not imply equal rates when denominators differ."/>
            <wp:cNvGraphicFramePr>
              <a:graphicFrameLocks noChangeAspect="1"/>
            </wp:cNvGraphicFramePr>
            <a:graphic>
              <a:graphicData uri="http://schemas.openxmlformats.org/drawingml/2006/picture">
                <pic:pic>
                  <pic:nvPicPr>
                    <pic:cNvPr id="0" name="academy-story-ai-3-30-04.png"/>
                    <pic:cNvPicPr/>
                  </pic:nvPicPr>
                  <pic:blipFill>
                    <a:blip r:embed="rId18"/>
                    <a:stretch>
                      <a:fillRect/>
                    </a:stretch>
                  </pic:blipFill>
                  <pic:spPr>
                    <a:xfrm>
                      <a:off x="0" y="0"/>
                      <a:ext cx="5486400" cy="3026664"/>
                    </a:xfrm>
                    <a:prstGeom prst="rect"/>
                  </pic:spPr>
                </pic:pic>
              </a:graphicData>
            </a:graphic>
          </wp:inline>
        </w:drawing>
      </w:r>
    </w:p>
    <w:p>
      <w:pPr>
        <w:pStyle w:val="Heading2"/>
      </w:pPr>
      <w:r>
        <w:t>State small-sample and matching limits</w:t>
      </w:r>
    </w:p>
    <w:p>
      <w:pPr>
        <w:pStyle w:val="ListBullet"/>
      </w:pPr>
      <w:r>
        <w:t>These groups are fictional; small samples and unmatched question difficulty limit conclusions about fairness.</w:t>
      </w:r>
    </w:p>
    <w:p>
      <w:pPr>
        <w:pStyle w:val="ListBullet"/>
      </w:pPr>
      <w:r>
        <w:t>Read the labelled picture: Explain why comparing six correct answers in each group would mislead. Point to the relevant step in the picture, then write the changed result and the rule or evidence that supports it.</w:t>
      </w:r>
    </w:p>
    <w:p>
      <w:pPr>
        <w:pStyle w:val="Heading2"/>
      </w:pPr>
      <w:r>
        <w:t>Separate practice · A/B support rates · reference / check after trying</w:t>
      </w:r>
    </w:p>
    <w:p>
      <w:pPr>
        <w:spacing w:line="336" w:lineRule="auto" w:after="180"/>
      </w:pPr>
      <w:r>
        <w:rPr>
          <w:b w:val="0"/>
        </w:rPr>
        <w:t>A grounded assistant supports 9 of 10 group-A cases and 6 of 10 group-B cases.</w:t>
      </w:r>
    </w:p>
    <w:p>
      <w:pPr>
        <w:spacing w:line="336" w:lineRule="auto" w:after="180"/>
      </w:pPr>
      <w:r>
        <w:rPr>
          <w:b w:val="0"/>
        </w:rPr>
        <w:t xml:space="preserve">Rates 90% and </w:t>
      </w:r>
      <w:r>
        <w:rPr>
          <w:b/>
        </w:rPr>
        <w:t>60%</w:t>
      </w:r>
      <w:r>
        <w:rPr>
          <w:b w:val="0"/>
        </w:rPr>
        <w:t xml:space="preserve">; gap 30 percentage points. Investigate </w:t>
      </w:r>
      <w:r>
        <w:rPr>
          <w:b/>
        </w:rPr>
        <w:t>case mix</w:t>
      </w:r>
      <w:r>
        <w:rPr>
          <w:b w:val="0"/>
        </w:rPr>
        <w:t>, retrieval coverage and annotation rules before attributing cause.</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Bias and Representation"/>
            <wp:cNvGraphicFramePr>
              <a:graphicFrameLocks noChangeAspect="1"/>
            </wp:cNvGraphicFramePr>
            <a:graphic>
              <a:graphicData uri="http://schemas.openxmlformats.org/drawingml/2006/picture">
                <pic:pic>
                  <pic:nvPicPr>
                    <pic:cNvPr id="0" name="67d3c3168a69eaaefb72fc1da7e04745b418fd376f38d01118f5b8e880e83fa0.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Generate comparable characters while changing one identity descriptor.</w:t>
      </w:r>
    </w:p>
    <w:p>
      <w:pPr>
        <w:spacing w:line="336" w:lineRule="auto" w:after="180"/>
      </w:pPr>
      <w:r>
        <w:rPr>
          <w:b w:val="0"/>
        </w:rPr>
        <w:t xml:space="preserve">2. Count omissions, </w:t>
      </w:r>
      <w:r>
        <w:rPr>
          <w:b/>
        </w:rPr>
        <w:t>stereotype</w:t>
      </w:r>
      <w:r>
        <w:rPr>
          <w:b w:val="0"/>
        </w:rPr>
        <w:t>d roles, and quality differences.</w:t>
      </w:r>
    </w:p>
    <w:p>
      <w:pPr>
        <w:spacing w:line="336" w:lineRule="auto" w:after="180"/>
      </w:pPr>
      <w:r>
        <w:rPr>
          <w:b w:val="0"/>
        </w:rPr>
        <w:t>3. A balanced count does not alone prove respectful depiction.</w:t>
      </w:r>
    </w:p>
    <w:p>
      <w:pPr>
        <w:spacing w:line="336" w:lineRule="auto" w:after="180"/>
      </w:pPr>
      <w:r>
        <w:rPr>
          <w:b w:val="0"/>
        </w:rPr>
        <w:t xml:space="preserve">4. Repair prompt, data, filters, or use limits, then repeat the fixed </w:t>
      </w:r>
      <w:r>
        <w:rPr>
          <w:b/>
        </w:rPr>
        <w:t>audit</w:t>
      </w:r>
      <w:r>
        <w:rPr>
          <w:b w:val="0"/>
        </w:rPr>
        <w:t>.</w:t>
      </w:r>
    </w:p>
    <w:p>
      <w:pPr>
        <w:spacing w:line="336" w:lineRule="auto" w:after="180"/>
      </w:pPr>
      <w:r>
        <w:rPr>
          <w:b w:val="0"/>
        </w:rPr>
        <w:t xml:space="preserve">Recalculate, retrace, or restate the reasoning in your own </w:t>
      </w:r>
      <w:r>
        <w:rPr>
          <w:b/>
        </w:rPr>
        <w:t>representation</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Bias and Representation</w:t>
      </w:r>
    </w:p>
    <w:p>
      <w:pPr>
        <w:pStyle w:val="Heading3"/>
      </w:pPr>
      <w:r>
        <w:t>The facts we will use</w:t>
      </w:r>
    </w:p>
    <w:p>
      <w:r>
        <w:drawing>
          <wp:inline xmlns:a="http://schemas.openxmlformats.org/drawingml/2006/main" xmlns:pic="http://schemas.openxmlformats.org/drawingml/2006/picture">
            <wp:extent cx="5486400" cy="5225143"/>
            <wp:docPr id="17" name="Picture 17" descr="Bias and Representation. Keep denominators: Birch: 6/8. Pine: 9/12.. Compare rates: Both support rates are 75%; Pine has more correct answers because it has more cases..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visual-ai-3-30.png"/>
                    <pic:cNvPicPr/>
                  </pic:nvPicPr>
                  <pic:blipFill>
                    <a:blip r:embed="rId2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denominator or causal shortcut</w:t>
      </w:r>
    </w:p>
    <w:p>
      <w:r>
        <w:t>State what the record shows before proposing explanations.</w:t>
      </w:r>
    </w:p>
    <w:p>
      <w:pPr>
        <w:pStyle w:val="Heading2"/>
      </w:pPr>
      <w:r>
        <w:t>Repair the raw-total and no-bias claims</w:t>
      </w:r>
    </w:p>
    <w:p>
      <w:pPr>
        <w:spacing w:line="336" w:lineRule="auto" w:after="180"/>
      </w:pPr>
      <w:r>
        <w:rPr>
          <w:b w:val="0"/>
        </w:rPr>
        <w:t>Claim to repair: Pine has nine successes and Birch six, so Pine quality is higher. Rates are equal in the base case because group sizes differ. Another shortcut is saying equal 75% rates prove no bias: failures, coverage and affected conditions still need inspection.</w:t>
      </w:r>
    </w:p>
    <w:p>
      <w:pPr>
        <w:spacing w:line="336" w:lineRule="auto" w:after="180"/>
      </w:pPr>
      <w:r>
        <w:rPr>
          <w:b w:val="0"/>
        </w:rPr>
        <w:t>In the changed case a rate gap is observed, but the counts alone cannot tell whether source coverage, case mix, annotation or another factor produced it.</w:t>
      </w:r>
    </w:p>
    <w:p>
      <w:pPr>
        <w:pStyle w:val="Heading2"/>
      </w:pPr>
      <w:r>
        <w:t>Design a revealing follow-up</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Bias and Representation"/>
            <wp:cNvGraphicFramePr>
              <a:graphicFrameLocks noChangeAspect="1"/>
            </wp:cNvGraphicFramePr>
            <a:graphic>
              <a:graphicData uri="http://schemas.openxmlformats.org/drawingml/2006/picture">
                <pic:pic>
                  <pic:nvPicPr>
                    <pic:cNvPr id="0" name="fb088f060dc822ebc6b722b66c43da90899fcbe671d32af5b000a0abf56c52bb.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1"/>
      </w:pPr>
      <w:r>
        <w:t>08. Practise the A/B support-rate comparison with less help</w:t>
      </w:r>
    </w:p>
    <w:p>
      <w:r>
        <w:t>Keep these ten-per-group cases separate from Birch/Pine.</w:t>
      </w:r>
    </w:p>
    <w:p>
      <w:pPr>
        <w:pStyle w:val="Heading2"/>
      </w:pPr>
      <w:r>
        <w:t>The causal and governance limit</w:t>
      </w:r>
    </w:p>
    <w:p>
      <w:pPr>
        <w:spacing w:line="336" w:lineRule="auto" w:after="180"/>
      </w:pPr>
      <w:r>
        <w:rPr>
          <w:b w:val="0"/>
        </w:rPr>
        <w:t xml:space="preserve">Group comparisons require task relevance and appropriate data governance; differences alone do not identify a causal </w:t>
      </w:r>
      <w:r>
        <w:rPr>
          <w:b/>
        </w:rPr>
        <w:t>mechanism</w:t>
      </w:r>
      <w:r>
        <w:rPr>
          <w:b w:val="0"/>
        </w:rPr>
        <w:t>.</w:t>
      </w:r>
    </w:p>
    <w:p>
      <w:pPr>
        <w:pStyle w:val="Heading2"/>
      </w:pPr>
      <w:r>
        <w:t>Complete the 9/10 versus 6/10 W2</w:t>
      </w:r>
    </w:p>
    <w:p>
      <w:pPr>
        <w:pStyle w:val="Heading3"/>
      </w:pPr>
      <w:r>
        <w:t>Practise with less help: Trace the worked case</w:t>
      </w:r>
    </w:p>
    <w:p>
      <w:pPr>
        <w:spacing w:line="336" w:lineRule="auto" w:after="180"/>
      </w:pPr>
      <w:r>
        <w:rPr>
          <w:b w:val="0"/>
        </w:rPr>
        <w:t>Use workbook W2 for the connected example “</w:t>
      </w:r>
      <w:r>
        <w:rPr>
          <w:b/>
        </w:rPr>
        <w:t>Representation</w:t>
      </w:r>
      <w:r>
        <w:rPr>
          <w:b w:val="0"/>
        </w:rPr>
        <w:t xml:space="preserve"> and bias evaluation”.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Audit an all-future-cases claim</w:t>
      </w:r>
    </w:p>
    <w:p>
      <w:pPr>
        <w:pStyle w:val="Heading3"/>
      </w:pPr>
      <w:r>
        <w:t>Check your reasoning</w:t>
      </w:r>
    </w:p>
    <w:p>
      <w:pPr>
        <w:pStyle w:val="ListBullet"/>
      </w:pPr>
      <w:r>
        <w:t>Use the worked case for Representation and bias evaluation.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denominator change</w:t>
      </w:r>
    </w:p>
    <w:p>
      <w:pPr>
        <w:pStyle w:val="Heading3"/>
      </w:pPr>
      <w:r>
        <w:t>Explain the picture</w:t>
      </w:r>
    </w:p>
    <w:p>
      <w:pPr>
        <w:pStyle w:val="ListBullet"/>
      </w:pPr>
      <w:r>
        <w:t>Explain why comparing six correct answers in each group would mislead.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work separate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9" name="Picture 19" descr="Logic tracing graphic for Bias and Representa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Explain your trace to a partner. Your partner points to one step to check. Swap roles on the next case. Each person writes their own explanation.</w:t>
      </w:r>
    </w:p>
    <w:p>
      <w:pPr>
        <w:pStyle w:val="Heading1"/>
      </w:pPr>
      <w:r>
        <w:t>09. Audit three complete paired character prompts</w:t>
      </w:r>
    </w:p>
    <w:p>
      <w:r>
        <w:t>Compare role quality under an explicit shared task without guessing identities or causes.</w:t>
      </w:r>
    </w:p>
    <w:p>
      <w:pPr>
        <w:pStyle w:val="Heading2"/>
      </w:pPr>
      <w:r>
        <w:t>Complete fictional paired-prompt contract</w:t>
      </w:r>
    </w:p>
    <w:p>
      <w:pPr>
        <w:spacing w:line="336" w:lineRule="auto" w:after="180"/>
      </w:pPr>
      <w:r>
        <w:rPr>
          <w:b w:val="0"/>
        </w:rPr>
        <w:t>Complete paired-prompt fixture: fictional Amal uses she/her and fictional Rowan uses he/him; these pronouns are declared by the cards, not inferred from names. Both have the same supplied skills: reading a bridge plan and joining model pieces. For each, request one sentence showing that pupil leading the engineering task using the plan.</w:t>
      </w:r>
    </w:p>
    <w:p>
      <w:pPr>
        <w:spacing w:line="336" w:lineRule="auto" w:after="180"/>
      </w:pPr>
      <w:r>
        <w:rPr>
          <w:b w:val="0"/>
        </w:rPr>
        <w:t>Keep wording, skills and task identical except the explicitly supplied character reference. Judge task fit, unsupported identity assumptions and role assignment; no demographic performance dataset is supplied.</w:t>
      </w:r>
    </w:p>
    <w:p>
      <w:pPr>
        <w:pStyle w:val="Heading2"/>
      </w:pPr>
      <w:r>
        <w:t>All six constructed outputs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Pair / complete constructed outputs</w:t>
            </w:r>
          </w:p>
        </w:tc>
        <w:tc>
          <w:tcPr>
            <w:tcW w:type="dxa" w:w="5112"/>
          </w:tcPr>
          <w:p>
            <w:r>
              <w:t>What the task evidence permits</w:t>
            </w:r>
          </w:p>
        </w:tc>
      </w:tr>
      <w:tr>
        <w:tc>
          <w:tcPr>
            <w:tcW w:type="dxa" w:w="5112"/>
          </w:tcPr>
          <w:p>
            <w:r>
              <w:t>1 · Amal designs the bridge using the supplied plan. / Rowan designs the bridge using the supplied plan.</w:t>
            </w:r>
          </w:p>
        </w:tc>
        <w:tc>
          <w:tcPr>
            <w:tcW w:type="dxa" w:w="5112"/>
          </w:tcPr>
          <w:p>
            <w:r>
              <w:t>Both show the requested leading engineering role.</w:t>
            </w:r>
          </w:p>
        </w:tc>
      </w:tr>
      <w:tr>
        <w:tc>
          <w:tcPr>
            <w:tcW w:type="dxa" w:w="5112"/>
          </w:tcPr>
          <w:p>
            <w:r>
              <w:t>2 · Amal watches while another pupil does the engineering. / Rowan designs the bridge using the supplied plan.</w:t>
            </w:r>
          </w:p>
        </w:tc>
        <w:tc>
          <w:tcPr>
            <w:tcW w:type="dxa" w:w="5112"/>
          </w:tcPr>
          <w:p>
            <w:r>
              <w:t>Amal output omits the requested leading role; Rowan output fits. No cause is established by this pair.</w:t>
            </w:r>
          </w:p>
        </w:tc>
      </w:tr>
      <w:tr>
        <w:tc>
          <w:tcPr>
            <w:tcW w:type="dxa" w:w="5112"/>
          </w:tcPr>
          <w:p>
            <w:r>
              <w:t>3 · Amal designs the bridge using the supplied plan. / Rowan brings snacks while another pupil designs the bridge.</w:t>
            </w:r>
          </w:p>
        </w:tc>
        <w:tc>
          <w:tcPr>
            <w:tcW w:type="dxa" w:w="5112"/>
          </w:tcPr>
          <w:p>
            <w:r>
              <w:t>Rowan output omits the requested leading role; Amal output fits. Keep both failures visible instead of selecting one flattering example.</w:t>
            </w:r>
          </w:p>
        </w:tc>
      </w:tr>
    </w:tbl>
    <w:p>
      <w:pPr>
        <w:pStyle w:val="Heading2"/>
      </w:pPr>
      <w:r>
        <w:t>Rate, compare error types and plan a controlled retest</w:t>
      </w:r>
    </w:p>
    <w:p>
      <w:pPr>
        <w:pStyle w:val="ListNumber"/>
      </w:pPr>
      <w:r>
        <w:t>Score all six complete constructed outputs against the shared requested role, citing exact clauses. Record two task-fit passes out of three for each fictional character; equal rates do not erase the different failed cards. Do not add a gender-based explanation or infer a model tendency from invented outputs. An omission that swaps a requested engineering role for watching/snacks is a task failure; an identity-based stereotype would need explicit content evidence, not an assumption about the name. Propose one prompt revision that preserves the requested leading role for every supplied character, then design fresh matched tests. Record the revision’s improvement as unmeasured until a real permitted test or supplied outcome exists. Do not collect classmates’ demographic details. Keep the independent C/D rate case withheld.</w:t>
      </w:r>
    </w:p>
    <w:p>
      <w:pPr>
        <w:pStyle w:val="Heading2"/>
      </w:pPr>
      <w:r>
        <w:t>Keep the evidence and limits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Bias and Representation"/>
            <wp:cNvGraphicFramePr>
              <a:graphicFrameLocks noChangeAspect="1"/>
            </wp:cNvGraphicFramePr>
            <a:graphic>
              <a:graphicData uri="http://schemas.openxmlformats.org/drawingml/2006/picture">
                <pic:pic>
                  <pic:nvPicPr>
                    <pic:cNvPr id="0" name="48e865617f0b3bd154cd2fe60acf01e4bf0aaebae314a7f7900730d7623e4be6.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Use the complete fictional Amal/Rowan paired-prompt fixture and six constructed outputs. Keep skills and task fixed, use only declared pronouns, judge role quality from exact text and preserve both failures. Plan a controlled revision without claiming a measured model tendency or improvement.</w:t>
      </w:r>
    </w:p>
    <w:p>
      <w:pPr>
        <w:pStyle w:val="Heading3"/>
      </w:pPr>
      <w:r>
        <w:t>Plan → try → check</w:t>
      </w:r>
    </w:p>
    <w:p>
      <w:pPr>
        <w:pStyle w:val="Heading1"/>
      </w:pPr>
      <w:r>
        <w:t>14. Try alone: compare the fresh unequal-size C/D groups</w:t>
      </w:r>
    </w:p>
    <w:p>
      <w:r>
        <w:t>Use each group’s denominator rather than raw success totals.</w:t>
      </w:r>
    </w:p>
    <w:p>
      <w:pPr>
        <w:pStyle w:val="Heading2"/>
      </w:pPr>
      <w:r>
        <w:t>Independent outcomes and scope</w:t>
      </w:r>
    </w:p>
    <w:p>
      <w:pPr>
        <w:spacing w:line="336" w:lineRule="auto" w:after="180"/>
      </w:pPr>
      <w:r>
        <w:rPr>
          <w:b w:val="0"/>
        </w:rPr>
        <w:t>Group C has 8 supported answers out of 10; D has 9 out of 15. Compute rates and difference; explain why raw correct totals mislead.</w:t>
      </w:r>
    </w:p>
    <w:p>
      <w:pPr>
        <w:spacing w:line="336" w:lineRule="auto" w:after="180"/>
      </w:pPr>
      <w:r>
        <w:rPr>
          <w:b w:val="0"/>
        </w:rPr>
        <w:t>Use the stated supported-answer counts and group sizes. C/D are fictional labels; no demographic identity, matched difficulty or causal explanation is supplied. Report the comparison in percentage points and explain what more would be needed to interpret it.</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Week 30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An assistant is tested on six fluent requests but no requests with spelling errors. What gap does this leave, and how should the evaluation expand?</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rPr>
        <w:t>Audit</w:t>
      </w:r>
      <w:r>
        <w:rPr>
          <w:b w:val="0"/>
        </w:rPr>
        <w:t xml:space="preserve"> answer quality across reading levels, languages, names, and accessibility needs.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An illustration set always shows scientists in the same role and appearance. Define a review that examines </w:t>
      </w:r>
      <w:r>
        <w:rPr>
          <w:b/>
        </w:rPr>
        <w:t>representation</w:t>
      </w:r>
      <w:r>
        <w:rPr>
          <w:b w:val="0"/>
        </w:rPr>
        <w:t xml:space="preserve"> without inferring personal identities from images.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project’s representation audit grounded</w:t>
      </w:r>
    </w:p>
    <w:p>
      <w:r>
        <w:t>Record relevant coverage and task evidence alongside the numbers.</w:t>
      </w:r>
    </w:p>
    <w:p>
      <w:pPr>
        <w:pStyle w:val="Heading2"/>
      </w:pPr>
      <w:r>
        <w:t>This week’s contribution</w:t>
      </w:r>
    </w:p>
    <w:p>
      <w:pPr>
        <w:spacing w:line="336" w:lineRule="auto" w:after="180"/>
      </w:pPr>
      <w:r>
        <w:rPr>
          <w:b w:val="0"/>
        </w:rPr>
        <w:t>For the Verified Study Buddy, define relevant task conditions, coverage and quality before comparing groups. Preserve case IDs, source availability, denominators and error types, using non-identifying fixtures for classroom practice. Audit omissions and unsupported assumptions as well as rates.</w:t>
      </w:r>
    </w:p>
    <w:p>
      <w:pPr>
        <w:spacing w:line="336" w:lineRule="auto" w:after="180"/>
      </w:pPr>
      <w:r>
        <w:rPr>
          <w:b w:val="0"/>
        </w:rPr>
        <w:t>A proposed mitigation needs a fresh matched retest; neither one passing output nor equal aggregate rates establishes broad fairness.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Retain the checkpoint and human choice</w:t>
      </w:r>
    </w:p>
    <w:p>
      <w:pPr>
        <w:spacing w:line="336" w:lineRule="auto" w:after="180"/>
      </w:pPr>
      <w:r>
        <w:rPr>
          <w:b w:val="0"/>
        </w:rPr>
        <w:t xml:space="preserve">THIS WEEK’S CHECKPOINT  </w:t>
      </w:r>
      <w:r>
        <w:rPr>
          <w:b/>
        </w:rPr>
        <w:t>Audit</w:t>
      </w:r>
      <w:r>
        <w:rPr>
          <w:b w:val="0"/>
        </w:rPr>
        <w:t xml:space="preserve"> answer quality across reading levels, languages, names, and accessibility needs.</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Bias and Representation"/>
            <wp:cNvGraphicFramePr>
              <a:graphicFrameLocks noChangeAspect="1"/>
            </wp:cNvGraphicFramePr>
            <a:graphic>
              <a:graphicData uri="http://schemas.openxmlformats.org/drawingml/2006/picture">
                <pic:pic>
                  <pic:nvPicPr>
                    <pic:cNvPr id="0" name="c37922ff2c1184b3200a37b49cfa10a083c79debef27f0aa77869cb1826c7d0f.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state the rate, gap, error pattern and uncertainty</w:t>
      </w:r>
    </w:p>
    <w:p>
      <w:r>
        <w:t>A difference can motivate investigation without supplying its own cause.</w:t>
      </w:r>
    </w:p>
    <w:p>
      <w:pPr>
        <w:pStyle w:val="Heading2"/>
      </w:pPr>
      <w:r>
        <w:t>Explain without notes</w:t>
      </w:r>
    </w:p>
    <w:p>
      <w:pPr>
        <w:pStyle w:val="ListBullet"/>
      </w:pPr>
      <w:r>
        <w:t>Close your notes. Explain this goal in your own words: Explain the mechanism and terminology of representation and bias evaluation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representation</w:t>
            </w:r>
          </w:p>
        </w:tc>
        <w:tc>
          <w:tcPr>
            <w:tcW w:type="dxa" w:w="3408"/>
          </w:tcPr>
          <w:p>
            <w:r>
              <w:t>A way to encode information so a person or system can work with it.</w:t>
            </w:r>
          </w:p>
        </w:tc>
        <w:tc>
          <w:tcPr>
            <w:tcW w:type="dxa" w:w="3408"/>
          </w:tcPr>
          <w:p>
            <w:r/>
          </w:p>
        </w:tc>
      </w:tr>
      <w:tr>
        <w:tc>
          <w:tcPr>
            <w:tcW w:type="dxa" w:w="3408"/>
          </w:tcPr>
          <w:p>
            <w:r>
              <w:t>stereotype</w:t>
            </w:r>
          </w:p>
        </w:tc>
        <w:tc>
          <w:tcPr>
            <w:tcW w:type="dxa" w:w="3408"/>
          </w:tcPr>
          <w:p>
            <w:r>
              <w:t>An oversimplified expectation about members of a group that ignores individual variation.</w:t>
            </w:r>
          </w:p>
        </w:tc>
        <w:tc>
          <w:tcPr>
            <w:tcW w:type="dxa" w:w="3408"/>
          </w:tcPr>
          <w:p>
            <w:r/>
          </w:p>
        </w:tc>
      </w:tr>
      <w:tr>
        <w:tc>
          <w:tcPr>
            <w:tcW w:type="dxa" w:w="3408"/>
          </w:tcPr>
          <w:p>
            <w:r>
              <w:t>subgroup quality</w:t>
            </w:r>
          </w:p>
        </w:tc>
        <w:tc>
          <w:tcPr>
            <w:tcW w:type="dxa" w:w="3408"/>
          </w:tcPr>
          <w:p>
            <w:r>
              <w:t>Performance measured for a defined subset using stated criteria and denominators.</w:t>
            </w:r>
          </w:p>
        </w:tc>
        <w:tc>
          <w:tcPr>
            <w:tcW w:type="dxa" w:w="3408"/>
          </w:tcPr>
          <w:p>
            <w:r/>
          </w:p>
        </w:tc>
      </w:tr>
      <w:tr>
        <w:tc>
          <w:tcPr>
            <w:tcW w:type="dxa" w:w="3408"/>
          </w:tcPr>
          <w:p>
            <w:r>
              <w:t>audit</w:t>
            </w:r>
          </w:p>
        </w:tc>
        <w:tc>
          <w:tcPr>
            <w:tcW w:type="dxa" w:w="3408"/>
          </w:tcPr>
          <w:p>
            <w:r>
              <w:t>A systematic examination of records and behaviour against stated checks.</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Subgroup rate</w:t>
            </w:r>
          </w:p>
        </w:tc>
        <w:tc>
          <w:tcPr>
            <w:tcW w:type="dxa" w:w="5112"/>
          </w:tcPr>
          <w:p>
            <w:r>
              <w:t>A measured outcome within a stated group</w:t>
            </w:r>
          </w:p>
        </w:tc>
      </w:tr>
      <w:tr>
        <w:tc>
          <w:tcPr>
            <w:tcW w:type="dxa" w:w="5112"/>
          </w:tcPr>
          <w:p>
            <w:r>
              <w:t>Percentage-point gap</w:t>
            </w:r>
          </w:p>
        </w:tc>
        <w:tc>
          <w:tcPr>
            <w:tcW w:type="dxa" w:w="5112"/>
          </w:tcPr>
          <w:p>
            <w:r>
              <w:t>The difference between two percentage rates</w:t>
            </w:r>
          </w:p>
        </w:tc>
      </w:tr>
      <w:tr>
        <w:tc>
          <w:tcPr>
            <w:tcW w:type="dxa" w:w="5112"/>
          </w:tcPr>
          <w:p>
            <w:r>
              <w:t>Case mix</w:t>
            </w:r>
          </w:p>
        </w:tc>
        <w:tc>
          <w:tcPr>
            <w:tcW w:type="dxa" w:w="5112"/>
          </w:tcPr>
          <w:p>
            <w:r>
              <w:t>The distribution of task conditions in a group</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representation"/>
            <wp:cNvGraphicFramePr>
              <a:graphicFrameLocks noChangeAspect="1"/>
            </wp:cNvGraphicFramePr>
            <a:graphic>
              <a:graphicData uri="http://schemas.openxmlformats.org/drawingml/2006/picture">
                <pic:pic>
                  <pic:nvPicPr>
                    <pic:cNvPr id="0" name="3dec59925e39081805a974a8c62b76c4fa0e790ac36392fc2c35d0c10598a88c.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stereotype"/>
            <wp:cNvGraphicFramePr>
              <a:graphicFrameLocks noChangeAspect="1"/>
            </wp:cNvGraphicFramePr>
            <a:graphic>
              <a:graphicData uri="http://schemas.openxmlformats.org/drawingml/2006/picture">
                <pic:pic>
                  <pic:nvPicPr>
                    <pic:cNvPr id="0" name="0286a51f50cb90ced1dc5771a136bc27a519aa86a4ecdf4d7d65b6d5dcf5bc16.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subgroup quality"/>
            <wp:cNvGraphicFramePr>
              <a:graphicFrameLocks noChangeAspect="1"/>
            </wp:cNvGraphicFramePr>
            <a:graphic>
              <a:graphicData uri="http://schemas.openxmlformats.org/drawingml/2006/picture">
                <pic:pic>
                  <pic:nvPicPr>
                    <pic:cNvPr id="0" name="7b5c23ade357fc4fe2888233cf88bb572f5f6d99ea7bf19812a49187f047243b.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audit"/>
            <wp:cNvGraphicFramePr>
              <a:graphicFrameLocks noChangeAspect="1"/>
            </wp:cNvGraphicFramePr>
            <a:graphic>
              <a:graphicData uri="http://schemas.openxmlformats.org/drawingml/2006/picture">
                <pic:pic>
                  <pic:nvPicPr>
                    <pic:cNvPr id="0" name="3e2a2c8220dae823481caecb29262be3d46b39afc45a529d2b146323bf03ff2b.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Bias and Representa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Compare the fresh unequal-size C/D groups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Compare the fresh unequal-size C/D groups independently is the selected independent case.</w:t>
      </w:r>
    </w:p>
    <w:p>
      <w:r>
        <w:drawing>
          <wp:inline xmlns:a="http://schemas.openxmlformats.org/drawingml/2006/main" xmlns:pic="http://schemas.openxmlformats.org/drawingml/2006/picture">
            <wp:extent cx="5486400" cy="1901952"/>
            <wp:docPr id="27" name="Picture 27" descr="Independent proof graphic for Bias and Representation"/>
            <wp:cNvGraphicFramePr>
              <a:graphicFrameLocks noChangeAspect="1"/>
            </wp:cNvGraphicFramePr>
            <a:graphic>
              <a:graphicData uri="http://schemas.openxmlformats.org/drawingml/2006/picture">
                <pic:pic>
                  <pic:nvPicPr>
                    <pic:cNvPr id="0" name="6133144e252638b1affe62b8772ebb2a01993ace5b7e684851e9ec995bde5c7c.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EXPLANATION CHECK  Require rates, percentage-point gap, preserved denominators and a stated causal limit.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Review representation across outputs</w:t>
      </w:r>
    </w:p>
    <w:p>
      <w:r>
        <w:t>Try the question before opening its worked explanation.</w:t>
      </w:r>
    </w:p>
    <w:p>
      <w:pPr>
        <w:pStyle w:val="Heading2"/>
      </w:pPr>
      <w:r>
        <w:t>Read the supplied case and question</w:t>
      </w:r>
    </w:p>
    <w:p>
      <w:pPr>
        <w:spacing w:line="336" w:lineRule="auto" w:after="180"/>
      </w:pPr>
      <w:r>
        <w:rPr>
          <w:b w:val="0"/>
        </w:rPr>
        <w:t>Scientist images repeatedly show only one demographic group.</w:t>
      </w:r>
    </w:p>
    <w:p>
      <w:pPr>
        <w:spacing w:line="336" w:lineRule="auto" w:after="180"/>
      </w:pPr>
      <w:r>
        <w:rPr>
          <w:b w:val="0"/>
        </w:rPr>
        <w:t xml:space="preserve">Evaluate and improve </w:t>
      </w:r>
      <w:r>
        <w:rPr>
          <w:b/>
        </w:rPr>
        <w:t>representation</w:t>
      </w:r>
      <w:r>
        <w:rPr>
          <w:b w:val="0"/>
        </w:rPr>
        <w: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Review relevant </w:t>
      </w:r>
      <w:r>
        <w:rPr>
          <w:b/>
        </w:rPr>
        <w:t>representation</w:t>
      </w:r>
      <w:r>
        <w:rPr>
          <w:b w:val="0"/>
        </w:rPr>
        <w:t xml:space="preserve"> criteria across </w:t>
      </w:r>
      <w:r>
        <w:rPr>
          <w:b/>
        </w:rPr>
        <w:t>output</w:t>
      </w:r>
      <w:r>
        <w:rPr>
          <w:b w:val="0"/>
        </w:rPr>
        <w:t>s, revise inclusive requirements and retest. Appearance alone cannot establish absence of all bias.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Observed pattern</w:t>
            </w:r>
          </w:p>
        </w:tc>
        <w:tc>
          <w:tcPr>
            <w:tcW w:type="dxa" w:w="5112"/>
          </w:tcPr>
          <w:p>
            <w:r>
              <w:t>Only one demographic group shown</w:t>
            </w:r>
          </w:p>
        </w:tc>
      </w:tr>
      <w:tr>
        <w:tc>
          <w:tcPr>
            <w:tcW w:type="dxa" w:w="5112"/>
          </w:tcPr>
          <w:p>
            <w:r>
              <w:t>Review</w:t>
            </w:r>
          </w:p>
        </w:tc>
        <w:tc>
          <w:tcPr>
            <w:tcW w:type="dxa" w:w="5112"/>
          </w:tcPr>
          <w:p>
            <w:r>
              <w:t>Define relevant representation criteria</w:t>
            </w:r>
          </w:p>
        </w:tc>
      </w:tr>
      <w:tr>
        <w:tc>
          <w:tcPr>
            <w:tcW w:type="dxa" w:w="5112"/>
          </w:tcPr>
          <w:p>
            <w:r>
              <w:t>Revision</w:t>
            </w:r>
          </w:p>
        </w:tc>
        <w:tc>
          <w:tcPr>
            <w:tcW w:type="dxa" w:w="5112"/>
          </w:tcPr>
          <w:p>
            <w:r>
              <w:t>State inclusive requirements</w:t>
            </w:r>
          </w:p>
        </w:tc>
      </w:tr>
      <w:tr>
        <w:tc>
          <w:tcPr>
            <w:tcW w:type="dxa" w:w="5112"/>
          </w:tcPr>
          <w:p>
            <w:r>
              <w:t>Retest</w:t>
            </w:r>
          </w:p>
        </w:tc>
        <w:tc>
          <w:tcPr>
            <w:tcW w:type="dxa" w:w="5112"/>
          </w:tcPr>
          <w:p>
            <w:r>
              <w:t>Inspect multiple new outputs</w:t>
            </w:r>
          </w:p>
        </w:tc>
      </w:tr>
    </w:tbl>
    <w:p>
      <w:pPr>
        <w:pStyle w:val="Heading2"/>
      </w:pPr>
      <w:r>
        <w:t>Earlier wording, alternatives and picture transcripts · reference / check after trying</w:t>
      </w:r>
    </w:p>
    <w:p>
      <w:pPr>
        <w:pStyle w:val="Heading3"/>
      </w:pPr>
      <w:r>
        <w:t>Week 30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Review representation across outputs</w:t>
      </w:r>
    </w:p>
    <w:p>
      <w:pPr>
        <w:spacing w:line="336" w:lineRule="auto" w:after="180"/>
      </w:pPr>
      <w:r>
        <w:rPr>
          <w:b w:val="0"/>
        </w:rPr>
        <w:t>Scientist images repeatedly show only one demographic group.</w:t>
      </w:r>
    </w:p>
    <w:p>
      <w:pPr>
        <w:spacing w:line="336" w:lineRule="auto" w:after="180"/>
      </w:pPr>
      <w:r>
        <w:rPr>
          <w:b w:val="0"/>
        </w:rPr>
        <w:t xml:space="preserve">Evaluate and improve </w:t>
      </w:r>
      <w:r>
        <w:rPr>
          <w:b/>
        </w:rPr>
        <w:t>representation</w:t>
      </w:r>
      <w:r>
        <w:rPr>
          <w:b w:val="0"/>
        </w:rPr>
        <w:t>.</w:t>
      </w:r>
    </w:p>
    <w:p>
      <w:pPr>
        <w:spacing w:line="336" w:lineRule="auto" w:after="180"/>
      </w:pPr>
      <w:r>
        <w:rPr>
          <w:b w:val="0"/>
        </w:rPr>
        <w:t xml:space="preserve">Review relevant </w:t>
      </w:r>
      <w:r>
        <w:rPr>
          <w:b/>
        </w:rPr>
        <w:t>representation</w:t>
      </w:r>
      <w:r>
        <w:rPr>
          <w:b w:val="0"/>
        </w:rPr>
        <w:t xml:space="preserve"> criteria across </w:t>
      </w:r>
      <w:r>
        <w:rPr>
          <w:b/>
        </w:rPr>
        <w:t>output</w:t>
      </w:r>
      <w:r>
        <w:rPr>
          <w:b w:val="0"/>
        </w:rPr>
        <w:t>s, revise inclusive requirements and retest. Appearance alone cannot establish absence of all bias.</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representation and bias evaluation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Compare study-answer support rates when groups have different numbers of questions.</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Compare study-answer support rates when groups have different numbers of questions.</w:t>
      </w:r>
    </w:p>
    <w:p>
      <w:pPr>
        <w:pStyle w:val="Heading3"/>
      </w:pPr>
      <w:r>
        <w:t>Practice 1: explain the deciding evidence</w:t>
      </w:r>
    </w:p>
    <w:p>
      <w:pPr>
        <w:pStyle w:val="ListBullet"/>
      </w:pPr>
      <w:r>
        <w:t>Which labelled step matches this detail? Check the two Birch and three Pine failures before deciding what revision each needs.</w:t>
      </w:r>
    </w:p>
    <w:p>
      <w:pPr>
        <w:pStyle w:val="ListBullet"/>
      </w:pPr>
      <w:r>
        <w:t>1. Compare rates</w:t>
      </w:r>
    </w:p>
    <w:p>
      <w:pPr>
        <w:pStyle w:val="ListBullet"/>
      </w:pPr>
      <w:r>
        <w:t>2. Inspect errors</w:t>
      </w:r>
    </w:p>
    <w:p>
      <w:pPr>
        <w:pStyle w:val="ListBullet"/>
      </w:pPr>
      <w:r>
        <w:t>3. Keep denominators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Inspect errors Check the two Birch and three Pine failures before deciding what revision each needs. Read the picture in order. Check the two Birch and three Pine failures before deciding what revision each needs. The arrows show which recorded input or intermediate result each decision uses. Explain the deciding step aloud before checking the changed case; pointing to the final answer alone does not show how it follows.</w:t>
      </w:r>
    </w:p>
    <w:p>
      <w:pPr>
        <w:pStyle w:val="Heading2"/>
      </w:pPr>
      <w:r>
        <w:t>Check the first explanation · reference / check after trying</w:t>
      </w:r>
    </w:p>
    <w:p>
      <w:pPr>
        <w:pStyle w:val="Heading3"/>
      </w:pPr>
      <w:r>
        <w:t>Practice 2: explain the deciding evidence</w:t>
      </w:r>
    </w:p>
    <w:p>
      <w:pPr>
        <w:pStyle w:val="Heading2"/>
      </w:pPr>
      <w:r>
        <w:t>Changed-case question</w:t>
      </w:r>
    </w:p>
    <w:p>
      <w:pPr>
        <w:pStyle w:val="ListBullet"/>
      </w:pPr>
      <w:r>
        <w:t>Changed-case practice: Pine instead has 6 supported answers out of 12. Which conclusion is supported by the supplied facts?</w:t>
      </w:r>
    </w:p>
    <w:p>
      <w:pPr>
        <w:pStyle w:val="ListBullet"/>
      </w:pPr>
      <w:r>
        <w:t>1. This one example guarantees correct results for every future input.</w:t>
      </w:r>
    </w:p>
    <w:p>
      <w:pPr>
        <w:pStyle w:val="ListBullet"/>
      </w:pPr>
      <w:r>
        <w:t>2. Pine is 50%, which is 25 percentage points below Birch.</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Pine is 50%, which is 25 percentage points below Birch. Equal correct counts do not imply equal rates when denominators differ.</w:t>
      </w:r>
    </w:p>
    <w:p>
      <w:pPr>
        <w:pStyle w:val="Heading2"/>
      </w:pPr>
      <w:r>
        <w:t>Check the changed case · reference / check after trying</w:t>
      </w:r>
    </w:p>
    <w:p>
      <w:pPr>
        <w:pStyle w:val="Heading3"/>
      </w:pPr>
      <w:r>
        <w:t>Repair a missing building block</w:t>
      </w:r>
    </w:p>
    <w:p>
      <w:pPr>
        <w:pStyle w:val="Heading2"/>
      </w:pPr>
      <w:r>
        <w:t>Repair and save your work</w:t>
      </w:r>
    </w:p>
    <w:p>
      <w:pPr>
        <w:spacing w:line="336" w:lineRule="auto" w:after="180"/>
      </w:pPr>
      <w:r>
        <w:rPr>
          <w:b w:val="0"/>
        </w:rPr>
        <w:t xml:space="preserve">Review Copyright and Provenance (ai-3/29). Goal: Explain the </w:t>
      </w:r>
      <w:r>
        <w:rPr>
          <w:b/>
        </w:rPr>
        <w:t>mechanism</w:t>
      </w:r>
      <w:r>
        <w:rPr>
          <w:b w:val="0"/>
        </w:rPr>
        <w:t xml:space="preserve"> and terminology of copyright and permitted sources. Short practice: Does acknowledging Fern make a cropped version permitted?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Red Team the Product (ai-3/27). Goal: Explain the </w:t>
      </w:r>
      <w:r>
        <w:rPr>
          <w:b/>
        </w:rPr>
        <w:t>mechanism</w:t>
      </w:r>
      <w:r>
        <w:rPr>
          <w:b w:val="0"/>
        </w:rPr>
        <w:t xml:space="preserve"> and terminology of red team exercises. Short practice: Why does the original test fail even if no upload succeeded?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Prototype a Grounded Assistant (ai-3/24). Goal: Explain the </w:t>
      </w:r>
      <w:r>
        <w:rPr>
          <w:b/>
        </w:rPr>
        <w:t>mechanism</w:t>
      </w:r>
      <w:r>
        <w:rPr>
          <w:b w:val="0"/>
        </w:rPr>
        <w:t xml:space="preserve"> and terminology of capstone grounded assistant. Short practice: Can PL2 alone support “check the soil daily”?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Bias and Representation: the case</w:t>
      </w:r>
    </w:p>
    <w:p>
      <w:r>
        <w:drawing>
          <wp:inline xmlns:a="http://schemas.openxmlformats.org/drawingml/2006/main" xmlns:pic="http://schemas.openxmlformats.org/drawingml/2006/picture">
            <wp:extent cx="5486400" cy="3142488"/>
            <wp:docPr id="28" name="Picture 28" descr="Compare study-answer support rates when groups have different numbers of questions. Supplied facts: Group Birch has 6 supported answers in 8 cases; group Pine has 9 supported answers in 12 cases. Both groups use the same support rubric.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0-01.png"/>
                    <pic:cNvPicPr/>
                  </pic:nvPicPr>
                  <pic:blipFill>
                    <a:blip r:embed="rId31"/>
                    <a:stretch>
                      <a:fillRect/>
                    </a:stretch>
                  </pic:blipFill>
                  <pic:spPr>
                    <a:xfrm>
                      <a:off x="0" y="0"/>
                      <a:ext cx="5486400" cy="3142488"/>
                    </a:xfrm>
                    <a:prstGeom prst="rect"/>
                  </pic:spPr>
                </pic:pic>
              </a:graphicData>
            </a:graphic>
          </wp:inline>
        </w:drawing>
      </w:r>
    </w:p>
    <w:p>
      <w:pPr>
        <w:spacing w:line="336" w:lineRule="auto" w:after="180"/>
      </w:pPr>
      <w:r>
        <w:rPr>
          <w:b w:val="0"/>
        </w:rPr>
        <w:t>Compare study-answer support rates when groups have different numbers of questions. Supplied facts: Group Birch has 6 supported answers in 8 cases; group Pine has 9 supported answers in 12 cases.</w:t>
      </w:r>
    </w:p>
    <w:p>
      <w:pPr>
        <w:spacing w:line="336" w:lineRule="auto" w:after="180"/>
      </w:pPr>
      <w:r>
        <w:rPr>
          <w:b w:val="0"/>
        </w:rPr>
        <w:t xml:space="preserve">Both groups use the same support rubric.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493008"/>
            <wp:docPr id="29" name="Picture 29" descr="Keep denominators: Birch: 6/8. Pine: 9/12. → Compare rates: Both support rates are 75%; Pine has more correct answers because it has more cases. →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story-ai-3-30-02.png"/>
                    <pic:cNvPicPr/>
                  </pic:nvPicPr>
                  <pic:blipFill>
                    <a:blip r:embed="rId17"/>
                    <a:stretch>
                      <a:fillRect/>
                    </a:stretch>
                  </pic:blipFill>
                  <pic:spPr>
                    <a:xfrm>
                      <a:off x="0" y="0"/>
                      <a:ext cx="5486400" cy="3493008"/>
                    </a:xfrm>
                    <a:prstGeom prst="rect"/>
                  </pic:spPr>
                </pic:pic>
              </a:graphicData>
            </a:graphic>
          </wp:inline>
        </w:drawing>
      </w:r>
    </w:p>
    <w:p>
      <w:pPr>
        <w:spacing w:line="336" w:lineRule="auto" w:after="180"/>
      </w:pPr>
      <w:r>
        <w:rPr>
          <w:b w:val="0"/>
        </w:rPr>
        <w:t>Keep denominators: Birch: 6/8.</w:t>
      </w:r>
    </w:p>
    <w:p>
      <w:pPr>
        <w:spacing w:line="336" w:lineRule="auto" w:after="180"/>
      </w:pPr>
      <w:r>
        <w:rPr>
          <w:b w:val="0"/>
        </w:rPr>
        <w:t>Pine: 9/12. → Compare rates: Both support rates are 75%; Pine has more correct answers because it has more cases. → Inspect errors: Check the two Birch and three Pine failures before deciding what revision each needs.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Representation and bias evaluation — evidence trace</w:t>
      </w:r>
    </w:p>
    <w:p>
      <w:r>
        <w:drawing>
          <wp:inline xmlns:a="http://schemas.openxmlformats.org/drawingml/2006/main" xmlns:pic="http://schemas.openxmlformats.org/drawingml/2006/picture">
            <wp:extent cx="5486400" cy="3297936"/>
            <wp:docPr id="30" name="Picture 30" descr="Representation and bias evaluation — evidence trace. A grounded assistant supports 9 of 10 group-A cases and 6 of 10 group-B cases. | Define the task, relevant groups, labels and denominators before comparing. Use fictional, non-identifying records. Evaluate quality and fallback outcomes separately; preserve sample sizes and unresolved explanations. | Rates 90% and 60%; gap 30 percentage points. Investigate case mix, retrieval coverage and annotation rules before attributing cause."/>
            <wp:cNvGraphicFramePr>
              <a:graphicFrameLocks noChangeAspect="1"/>
            </wp:cNvGraphicFramePr>
            <a:graphic>
              <a:graphicData uri="http://schemas.openxmlformats.org/drawingml/2006/picture">
                <pic:pic>
                  <pic:nvPicPr>
                    <pic:cNvPr id="0" name="academy-story-ai-3-30-03.png"/>
                    <pic:cNvPicPr/>
                  </pic:nvPicPr>
                  <pic:blipFill>
                    <a:blip r:embed="rId32"/>
                    <a:stretch>
                      <a:fillRect/>
                    </a:stretch>
                  </pic:blipFill>
                  <pic:spPr>
                    <a:xfrm>
                      <a:off x="0" y="0"/>
                      <a:ext cx="5486400" cy="3297936"/>
                    </a:xfrm>
                    <a:prstGeom prst="rect"/>
                  </pic:spPr>
                </pic:pic>
              </a:graphicData>
            </a:graphic>
          </wp:inline>
        </w:drawing>
      </w:r>
    </w:p>
    <w:p>
      <w:pPr>
        <w:spacing w:line="336" w:lineRule="auto" w:after="180"/>
      </w:pPr>
      <w:r>
        <w:rPr>
          <w:b/>
        </w:rPr>
        <w:t>Representation</w:t>
      </w:r>
      <w:r>
        <w:rPr>
          <w:b w:val="0"/>
        </w:rPr>
        <w:t xml:space="preserve"> and bias evaluation — </w:t>
      </w:r>
      <w:r>
        <w:rPr>
          <w:b/>
        </w:rPr>
        <w:t>evidence</w:t>
      </w:r>
      <w:r>
        <w:rPr>
          <w:b w:val="0"/>
        </w:rPr>
        <w:t xml:space="preserve"> trace. A grounded assistant supports 9 of 10 group-A cases and 6 of 10 group-B cases. | Define the task, relevant groups, labels and denominators before comparing.</w:t>
      </w:r>
    </w:p>
    <w:p>
      <w:pPr>
        <w:spacing w:line="336" w:lineRule="auto" w:after="180"/>
      </w:pPr>
      <w:r>
        <w:rPr>
          <w:b w:val="0"/>
        </w:rPr>
        <w:t xml:space="preserve">Use fictional, non-identifying records. Evaluate quality and fallback outcomes separately; preserve sample sizes and unresolved explanations. | Rates 90% and </w:t>
      </w:r>
      <w:r>
        <w:rPr>
          <w:b/>
        </w:rPr>
        <w:t>60%</w:t>
      </w:r>
      <w:r>
        <w:rPr>
          <w:b w:val="0"/>
        </w:rPr>
        <w:t>; gap 30 percentage points.</w:t>
      </w:r>
    </w:p>
    <w:p>
      <w:pPr>
        <w:spacing w:line="336" w:lineRule="auto" w:after="180"/>
      </w:pPr>
      <w:r>
        <w:rPr>
          <w:b w:val="0"/>
        </w:rPr>
        <w:t xml:space="preserve">Investigate </w:t>
      </w:r>
      <w:r>
        <w:rPr>
          <w:b/>
        </w:rPr>
        <w:t>case mix</w:t>
      </w:r>
      <w:r>
        <w:rPr>
          <w:b w:val="0"/>
        </w:rPr>
        <w:t>, retrieval coverage and annotation rules before attributing cause.</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1" name="Picture 31" descr="Original case: Check the two Birch and three Pine failures before deciding what revision each needs. Changed condition: Pine instead has 6 supported answers out of 12. Expected result: Pine is 50%, which is 25 percentage points below Birch. Reason: Equal correct counts do not imply equal rates when denominators differ."/>
            <wp:cNvGraphicFramePr>
              <a:graphicFrameLocks noChangeAspect="1"/>
            </wp:cNvGraphicFramePr>
            <a:graphic>
              <a:graphicData uri="http://schemas.openxmlformats.org/drawingml/2006/picture">
                <pic:pic>
                  <pic:nvPicPr>
                    <pic:cNvPr id="0" name="academy-story-ai-3-30-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Original case: Check the two Birch and three Pine failures before deciding what revision each needs. Changed condition: Pine instead has 6 supported answers out of 12.</w:t>
      </w:r>
    </w:p>
    <w:p>
      <w:pPr>
        <w:spacing w:line="336" w:lineRule="auto" w:after="180"/>
      </w:pPr>
      <w:r>
        <w:rPr>
          <w:b w:val="0"/>
        </w:rPr>
        <w:t>Expected result: Pine is 50%, which is 25 percentage points below Birch. Reason: Equal correct counts do not imply equal rates when denominators differ.</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Check the two Birch and three Pine failures before deciding what revision each needs. The arrows show which recorded input or intermediate result each decision uses. Explain the deciding step aloud before checking the changed case; pointing to the final answer alone does not show how it follows. Limit: These groups are fictional; small samples and unmatched question difficulty limit conclusions about fairness."/>
            <wp:cNvGraphicFramePr>
              <a:graphicFrameLocks noChangeAspect="1"/>
            </wp:cNvGraphicFramePr>
            <a:graphic>
              <a:graphicData uri="http://schemas.openxmlformats.org/drawingml/2006/picture">
                <pic:pic>
                  <pic:nvPicPr>
                    <pic:cNvPr id="0" name="academy-story-ai-3-30-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Check the two Birch and three Pine failures before deciding what revision each needs.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These groups are fictional; small samples and unmatched question difficulty limit conclusions about fairness.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Explain why comparing six correct answers in each group would mislea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0-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Explain why comparing six correct answers in each group would mislead.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Bias and Representation: the case</w:t>
      </w:r>
    </w:p>
    <w:p>
      <w:pPr>
        <w:pStyle w:val="Heading3"/>
      </w:pPr>
      <w:r>
        <w:t>02. Follow the deciding steps</w:t>
      </w:r>
    </w:p>
    <w:p>
      <w:pPr>
        <w:pStyle w:val="Heading3"/>
      </w:pPr>
      <w:r>
        <w:t>03. Representation and bias evaluation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