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Validate the shape. Check the authority. Match the evidence.</w:t>
      </w:r>
    </w:p>
    <w:p>
      <w:r>
        <w:t>Define safe useful behavior without treating one format check as complete protection.</w:t>
      </w:r>
    </w:p>
    <w:p>
      <w:r>
        <w:t>Two labelled contracts → exact lookup demonstration → six boundary cases → clarification extension → independent room inputs.</w:t>
      </w:r>
    </w:p>
    <w:p>
      <w:pPr>
        <w:pStyle w:val="Heading1"/>
      </w:pPr>
      <w:r>
        <w:t>01. Which boundary is checked before an answer or action?</w:t>
      </w:r>
    </w:p>
    <w:p>
      <w:r>
        <w:t>Format, access, source support and operation scope solve different problems.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untrusted input</w:t>
      </w:r>
      <w:r>
        <w:rPr>
          <w:b w:val="0"/>
        </w:rPr>
        <w:t xml:space="preserve"> boundaries.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Recall contracts and unresolved authority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Recall Tools and APIs and Red Team the Product: input text can propose an operation but cannot grant permission. Separate format validation, trusted access checks and permitted actions.</w:t>
      </w:r>
    </w:p>
    <w:p>
      <w:pPr>
        <w:pStyle w:val="ListBullet"/>
      </w:pPr>
      <w:r>
        <w:t>Recall Source Quality: conflicting current-looking records need an authority/version rule. The clarification extension asks for the smallest missing fact rather than guessing.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>By the end, I can explain safety boundaries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and Representation.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Design.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Quality Rubrics.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31: Safety Boundaries</w:t>
      </w:r>
    </w:p>
    <w:p>
      <w:pPr>
        <w:spacing w:line="336" w:lineRule="auto" w:after="180"/>
      </w:pPr>
      <w:r>
        <w:rPr>
          <w:b w:val="0"/>
        </w:rPr>
        <w:t xml:space="preserve">Systems need </w:t>
      </w:r>
      <w:r>
        <w:rPr>
          <w:b/>
        </w:rPr>
        <w:t>refusal</w:t>
      </w:r>
      <w:r>
        <w:rPr>
          <w:b w:val="0"/>
        </w:rPr>
        <w:t xml:space="preserve">, warning, </w:t>
      </w:r>
      <w:r>
        <w:rPr>
          <w:b/>
        </w:rPr>
        <w:t>escalation</w:t>
      </w:r>
      <w:r>
        <w:rPr>
          <w:b w:val="0"/>
        </w:rPr>
        <w:t>, and human-review policies.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1 illustration: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fa9131cbdb6402a2414e7837bbf645438ffe9299a7975f3fc961fc7b2b6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CREATOR MISSION</w:t>
      </w:r>
    </w:p>
    <w:p>
      <w:pPr>
        <w:spacing w:line="336" w:lineRule="auto" w:after="180"/>
      </w:pPr>
      <w:r>
        <w:rPr>
          <w:b w:val="0"/>
        </w:rPr>
        <w:t>Write safe behavior for three classroom risk levels.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Readiness for Abstention and clarification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Give each boundary a defined fallback</w:t>
      </w:r>
    </w:p>
    <w:p>
      <w:r>
        <w:t>A refusal is useful only when it matches the actual missing evidence or forbidden operation.</w:t>
      </w:r>
    </w:p>
    <w:p>
      <w:pPr>
        <w:pStyle w:val="Heading2"/>
      </w:pPr>
      <w:r>
        <w:t>Understand the separate checks</w:t>
      </w:r>
    </w:p>
    <w:p>
      <w:pPr>
        <w:spacing w:line="336" w:lineRule="auto" w:after="180"/>
      </w:pPr>
      <w:r>
        <w:rPr>
          <w:b w:val="0"/>
        </w:rPr>
        <w:t>A safety boundary states what a helper may do, what it must check and what happens when the check fails. A string that looks like a command remains data. A valid identifier still needs a separate access check; an authorised lookup still cannot invent a missing fact or perform an unapproved action. Clarify an ambiguous request, report unresolved evidence and decline operations outside scope.</w:t>
      </w:r>
    </w:p>
    <w:p>
      <w:pPr>
        <w:spacing w:line="336" w:lineRule="auto" w:after="180"/>
      </w:pPr>
      <w:r>
        <w:rPr>
          <w:b w:val="0"/>
        </w:rPr>
        <w:t>The lesson uses fictional read-only lookup contracts, not a live security system.</w:t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must be treated according to a contract before reaching code, queries or tools. Data that resembles instructions does not acquire execution authority.</w:t>
      </w:r>
    </w:p>
    <w:p>
      <w:pPr>
        <w:pStyle w:val="Heading2"/>
      </w:pPr>
      <w:r>
        <w:t>Extension · Clarify a necessary missing fact · reference / check after trying</w:t>
      </w:r>
    </w:p>
    <w:p>
      <w:pPr>
        <w:spacing w:line="336" w:lineRule="auto" w:after="180"/>
      </w:pPr>
      <w:r>
        <w:rPr>
          <w:b/>
        </w:rPr>
        <w:t>Abstention</w:t>
      </w:r>
      <w:r>
        <w:rPr>
          <w:b w:val="0"/>
        </w:rPr>
        <w:t xml:space="preserve"> and </w:t>
      </w:r>
      <w:r>
        <w:rPr>
          <w:b/>
        </w:rPr>
        <w:t>clarification</w:t>
      </w:r>
      <w:r>
        <w:rPr>
          <w:b w:val="0"/>
        </w:rPr>
        <w:t xml:space="preserve"> are valid responses when necessary </w:t>
      </w:r>
      <w:r>
        <w:rPr>
          <w:b/>
        </w:rPr>
        <w:t>evidence</w:t>
      </w:r>
      <w:r>
        <w:rPr>
          <w:b w:val="0"/>
        </w:rPr>
        <w:t xml:space="preserve"> is missing. Ask for the smallest fact that can resolve the decision.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6fa9131cbdb6402a2414e7837bbf645438ffe9299a7975f3fc961fc7b2b64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</w:t>
      </w:r>
    </w:p>
    <w:p>
      <w:pPr>
        <w:spacing w:line="336" w:lineRule="auto" w:after="180"/>
      </w:pPr>
      <w:r>
        <w:rPr>
          <w:b w:val="0"/>
        </w:rPr>
        <w:t xml:space="preserve">The learners must use safety boundaries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Label the one-letter and two-letter formats separately</w:t>
      </w:r>
    </w:p>
    <w:p>
      <w:r>
        <w:t>The examples have different explicit contracts, not competing rules for one field.</w:t>
      </w:r>
    </w:p>
    <w:p>
      <w:pPr>
        <w:pStyle w:val="Heading2"/>
      </w:pPr>
      <w:r>
        <w:t>Complete scope and fallback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Declared toy contract</w:t>
            </w:r>
          </w:p>
        </w:tc>
        <w:tc>
          <w:tcPr>
            <w:tcW w:type="dxa" w:w="5112"/>
          </w:tcPr>
          <w:p>
            <w:r>
              <w:t>Exact rule</w:t>
            </w:r>
          </w:p>
        </w:tc>
      </w:tr>
      <w:tr>
        <w:tc>
          <w:tcPr>
            <w:tcW w:type="dxa" w:w="5112"/>
          </w:tcPr>
          <w:p>
            <w:r>
              <w:t>Room ID · W2 and independent case</w:t>
            </w:r>
          </w:p>
        </w:tc>
        <w:tc>
          <w:tcPr>
            <w:tcW w:type="dxa" w:w="5112"/>
          </w:tcPr>
          <w:p>
            <w:r>
              <w:t>One uppercase ASCII letter followed by one ASCII digit, e.g. A1 or B2</w:t>
            </w:r>
          </w:p>
        </w:tc>
      </w:tr>
      <w:tr>
        <w:tc>
          <w:tcPr>
            <w:tcW w:type="dxa" w:w="5112"/>
          </w:tcPr>
          <w:p>
            <w:r>
              <w:t>Catalogue ID · main picture</w:t>
            </w:r>
          </w:p>
        </w:tc>
        <w:tc>
          <w:tcPr>
            <w:tcW w:type="dxa" w:w="5112"/>
          </w:tcPr>
          <w:p>
            <w:r>
              <w:t>Two uppercase ASCII letters followed by one ASCII digit, e.g. AB7</w:t>
            </w:r>
          </w:p>
        </w:tc>
      </w:tr>
      <w:tr>
        <w:tc>
          <w:tcPr>
            <w:tcW w:type="dxa" w:w="5112"/>
          </w:tcPr>
          <w:p>
            <w:r>
              <w:t>No silent repair</w:t>
            </w:r>
          </w:p>
        </w:tc>
        <w:tc>
          <w:tcPr>
            <w:tcW w:type="dxa" w:w="5112"/>
          </w:tcPr>
          <w:p>
            <w:r>
              <w:t>No trimming, case changes, extra digits, newline or appended command text</w:t>
            </w:r>
          </w:p>
        </w:tc>
      </w:tr>
      <w:tr>
        <w:tc>
          <w:tcPr>
            <w:tcW w:type="dxa" w:w="5112"/>
          </w:tcPr>
          <w:p>
            <w:r>
              <w:t>Lookup</w:t>
            </w:r>
          </w:p>
        </w:tc>
        <w:tc>
          <w:tcPr>
            <w:tcW w:type="dxa" w:w="5112"/>
          </w:tcPr>
          <w:p>
            <w:r>
              <w:t>Exact dictionary key; never evaluate input as code</w:t>
            </w:r>
          </w:p>
        </w:tc>
      </w:tr>
      <w:tr>
        <w:tc>
          <w:tcPr>
            <w:tcW w:type="dxa" w:w="5112"/>
          </w:tcPr>
          <w:p>
            <w:r>
              <w:t>Access</w:t>
            </w:r>
          </w:p>
        </w:tc>
        <w:tc>
          <w:tcPr>
            <w:tcW w:type="dxa" w:w="5112"/>
          </w:tcPr>
          <w:p>
            <w:r>
              <w:t>Trusted application role determines eligibility; user text cannot grant teacher access</w:t>
            </w:r>
          </w:p>
        </w:tc>
      </w:tr>
      <w:tr>
        <w:tc>
          <w:tcPr>
            <w:tcW w:type="dxa" w:w="5112"/>
          </w:tcPr>
          <w:p>
            <w:r>
              <w:t>Operation</w:t>
            </w:r>
          </w:p>
        </w:tc>
        <w:tc>
          <w:tcPr>
            <w:tcW w:type="dxa" w:w="5112"/>
          </w:tcPr>
          <w:p>
            <w:r>
              <w:t>Read-only lookup; no send, upload, deletion or booking</w:t>
            </w:r>
          </w:p>
        </w:tc>
      </w:tr>
      <w:tr>
        <w:tc>
          <w:tcPr>
            <w:tcW w:type="dxa" w:w="5112"/>
          </w:tcPr>
          <w:p>
            <w:r>
              <w:t>Evidence gap</w:t>
            </w:r>
          </w:p>
        </w:tc>
        <w:tc>
          <w:tcPr>
            <w:tcW w:type="dxa" w:w="5112"/>
          </w:tcPr>
          <w:p>
            <w:r>
              <w:t>Ask for missing ID; preserve unresolved source conflict; not found is not a measured zero</w:t>
            </w:r>
          </w:p>
        </w:tc>
      </w:tr>
    </w:tbl>
    <w:p>
      <w:pPr>
        <w:pStyle w:val="Heading2"/>
      </w:pPr>
      <w:r>
        <w:t>Room-format W2 rule</w:t>
      </w:r>
    </w:p>
    <w:p>
      <w:pPr>
        <w:spacing w:line="336" w:lineRule="auto" w:after="180"/>
      </w:pPr>
      <w:r>
        <w:rPr>
          <w:b w:val="0"/>
        </w:rPr>
        <w:t>For the toy lookup accept room IDs matching one uppercase letter plus one digit. Perform exact dictionary lookup; never evaluate user strings as code. Reject invalid length or characters.</w:t>
      </w:r>
    </w:p>
    <w:p>
      <w:pPr>
        <w:pStyle w:val="Heading2"/>
      </w:pPr>
      <w:r>
        <w:t>Explain the deciding check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Extension · Clarification and abstention procedure · reference / check after trying</w:t>
      </w:r>
    </w:p>
    <w:p>
      <w:pPr>
        <w:spacing w:line="336" w:lineRule="auto" w:after="180"/>
      </w:pPr>
      <w:r>
        <w:rPr>
          <w:b w:val="0"/>
        </w:rPr>
        <w:t xml:space="preserve">Separate answerable claims from unresolved ones. Clarify ambiguous </w:t>
      </w:r>
      <w:r>
        <w:rPr>
          <w:b/>
        </w:rPr>
        <w:t>input</w:t>
      </w:r>
      <w:r>
        <w:rPr>
          <w:b w:val="0"/>
        </w:rPr>
        <w:t xml:space="preserve"> when a user can supply the needed fact; abstain from unsupported conclusions when </w:t>
      </w:r>
      <w:r>
        <w:rPr>
          <w:b/>
        </w:rPr>
        <w:t>evidence</w:t>
      </w:r>
      <w:r>
        <w:rPr>
          <w:b w:val="0"/>
        </w:rPr>
        <w:t xml:space="preserve"> is unavailable. Define acceptable fallback before evaluation.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</w:t>
      </w:r>
      <w:r>
        <w:rPr>
          <w:b/>
        </w:rPr>
        <w:t>boundary</w:t>
      </w:r>
      <w:r>
        <w:rPr>
          <w:b w:val="0"/>
        </w:rPr>
        <w:t xml:space="preserve">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604d248c0b8127e5550a73eaff40fd000a4fe4b4e285c6e4900beadf373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a91591a17eb9a7f5939e2695111fff9040f3918f5d53d8f4a2026cbff0fcf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8e241a09b5b60943965915c6999042ca2aaa7302d843d6ed3f14e39945273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Untrusted input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Inputs A1 and delete_all() are supplied to room lookup.</w:t>
            </w:r>
          </w:p>
        </w:tc>
        <w:tc>
          <w:tcPr>
            <w:tcW w:type="dxa" w:w="3408"/>
          </w:tcPr>
          <w:p>
            <w:r>
              <w:t>For the toy lookup accept room IDs matching one uppercase letter plus one digit. Perform exact dictionary lookup; never evaluate user strings as code. Reject invalid length or characters.</w:t>
            </w:r>
          </w:p>
        </w:tc>
        <w:tc>
          <w:tcPr>
            <w:tcW w:type="dxa" w:w="3408"/>
          </w:tcPr>
          <w:p>
            <w:r>
              <w:t>A1 passes the format; delete_all() fails. Neither is executed as code, including any instruction-shaped string.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</w:t>
      </w:r>
      <w:r>
        <w:rPr>
          <w:b/>
        </w:rPr>
        <w:t>boundary</w:t>
      </w:r>
      <w:r>
        <w:rPr>
          <w:b w:val="0"/>
        </w:rPr>
        <w:t xml:space="preserve">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Apply the connected idea: Abstention and clarification</w:t>
      </w:r>
    </w:p>
    <w:p>
      <w:pPr>
        <w:pStyle w:val="Heading3"/>
      </w:pPr>
      <w:r>
        <w:t>Abstention and clarification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Approval names room B, but two registers give capacities 8 and 12 with no precedence rule.</w:t>
            </w:r>
          </w:p>
        </w:tc>
        <w:tc>
          <w:tcPr>
            <w:tcW w:type="dxa" w:w="3408"/>
          </w:tcPr>
          <w:p>
            <w:r>
              <w:t>Separate answerable claims from unresolved ones. Clarify ambiguous input when a user can supply the needed fact; abstain from unsupported conclusions when evidence is unavailable. Define acceptable fallback before evaluation.</w:t>
            </w:r>
          </w:p>
        </w:tc>
        <w:tc>
          <w:tcPr>
            <w:tcW w:type="dxa" w:w="3408"/>
          </w:tcPr>
          <w:p>
            <w:r>
              <w:t>Do not pick the larger or smaller value as established fact. Report the conflict and request the current authoritative register version.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format acceptance with access permission</w:t>
      </w:r>
    </w:p>
    <w:p>
      <w:r>
        <w:t>An identifier can be well formed and still request restricted evidence.</w:t>
      </w:r>
    </w:p>
    <w:p>
      <w:pPr>
        <w:pStyle w:val="Heading2"/>
      </w:pPr>
      <w:r>
        <w:t>Four pictures with a purpose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the result and deciding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Boundary case: identify the exact limit.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name what must be clarified.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Transfer case: explain which procedure still applies.</w:t>
      </w:r>
    </w:p>
    <w:p>
      <w:pPr>
        <w:pStyle w:val="Heading2"/>
      </w:pPr>
      <w:r>
        <w:t>Choose a revealing case</w:t>
      </w:r>
    </w:p>
    <w:p>
      <w:pPr>
        <w:pStyle w:val="ListBullet"/>
      </w:pPr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supplied changed case</w:t>
      </w:r>
    </w:p>
    <w:p>
      <w:pPr>
        <w:pStyle w:val="ListBullet"/>
      </w:pPr>
      <w:r>
        <w:t>Change: Change AB7 to Ab7.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Reject it under the exact uppercase rule.</w:t>
      </w:r>
    </w:p>
    <w:p>
      <w:pPr>
        <w:spacing w:line="336" w:lineRule="auto" w:after="180"/>
      </w:pPr>
      <w:r>
        <w:rPr>
          <w:b w:val="0"/>
        </w:rPr>
        <w:t>Reason: Lowercase b fails the declared pattern even though the identifier looks similar.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</w:t>
      </w:r>
      <w:r>
        <w:rPr>
          <w:b/>
        </w:rPr>
        <w:t>BOUNDARY</w:t>
      </w:r>
      <w:r>
        <w:rPr>
          <w:b w:val="0"/>
        </w:rPr>
        <w:t xml:space="preserve">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format → exact lookup → trusted access</w:t>
      </w:r>
    </w:p>
    <w:p>
      <w:r>
        <w:t>A rejected string is never executed as a program.</w:t>
      </w:r>
    </w:p>
    <w:p>
      <w:pPr>
        <w:pStyle w:val="Heading2"/>
      </w:pPr>
      <w:r>
        <w:t>Read the catalogue scope and supplied example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spacing w:line="336" w:lineRule="auto" w:after="180"/>
      </w:pPr>
      <w:r>
        <w:rPr>
          <w:b w:val="0"/>
        </w:rPr>
        <w:t>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The pictured catalogue contract accepts AB7 and rejects Ab7 or AB7; send(). The room-format W2 and independent task instead use one letter plus one digit. Do not apply the catalogue rule to B2. Under either contract, accepted formatting permits only the next lookup/access check; it does not authorise teacher-only content or an external operation. All command-like strings are inert test data.</w:t>
      </w:r>
    </w:p>
    <w:p>
      <w:pPr>
        <w:pStyle w:val="Heading2"/>
      </w:pPr>
      <w:r>
        <w:t>Trace the pictured boundaries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14" name="Picture 14" descr="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pattern</w:t>
            </w:r>
          </w:p>
        </w:tc>
        <w:tc>
          <w:tcPr>
            <w:tcW w:type="dxa" w:w="5112"/>
          </w:tcPr>
          <w:p>
            <w:r>
              <w:t>AB7 has two permitted letters and one digit, with no extra characters.</w:t>
            </w:r>
          </w:p>
        </w:tc>
      </w:tr>
      <w:tr>
        <w:tc>
          <w:tcPr>
            <w:tcW w:type="dxa" w:w="5112"/>
          </w:tcPr>
          <w:p>
            <w:r>
              <w:t>2. Reject extra text</w:t>
            </w:r>
          </w:p>
        </w:tc>
        <w:tc>
          <w:tcPr>
            <w:tcW w:type="dxa" w:w="5112"/>
          </w:tcPr>
          <w:p>
            <w:r>
              <w:t>AB7; send() violates the exact identifier pattern.</w:t>
            </w:r>
          </w:p>
        </w:tc>
      </w:tr>
      <w:tr>
        <w:tc>
          <w:tcPr>
            <w:tcW w:type="dxa" w:w="5112"/>
          </w:tcPr>
          <w:p>
            <w:r>
              <w:t>3. Separate authority</w:t>
            </w:r>
          </w:p>
        </w:tc>
        <w:tc>
          <w:tcPr>
            <w:tcW w:type="dxa" w:w="5112"/>
          </w:tcPr>
          <w:p>
            <w:r>
              <w:t>Pattern acceptance only allows the next lookup check; it grants no access to restricted records.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Run or trace the complete two-contract demonstration</w:t>
      </w:r>
    </w:p>
    <w:p>
      <w:r>
        <w:rPr>
          <w:rFonts w:ascii="Courier New" w:hAnsi="Courier New"/>
          <w:sz w:val="18"/>
        </w:rPr>
        <w:t>import re</w:t>
        <w:br/>
        <w:br/>
        <w:t>def valid_room_id(value):</w:t>
        <w:br/>
        <w:t xml:space="preserve">    return type(value) is str and re.fullmatch(r'[A-Z][0-9]', value) is not None</w:t>
        <w:br/>
        <w:br/>
        <w:t>def valid_catalog_id(value):</w:t>
        <w:br/>
        <w:t xml:space="preserve">    return type(value) is str and re.fullmatch(r'[A-Z]{2}[0-9]', value) is not None</w:t>
        <w:br/>
        <w:br/>
        <w:t>catalog = {'AB7': {'access': 'public', 'capacity': 12},</w:t>
        <w:br/>
        <w:t xml:space="preserve">           'CT8': {'access': 'teacher', 'capacity': 4}}</w:t>
        <w:br/>
        <w:br/>
        <w:t>def lookup_catalog(identifier, trusted_role):</w:t>
        <w:br/>
        <w:t xml:space="preserve">    # trusted_role is supplied by the application session, not user text.</w:t>
        <w:br/>
        <w:t xml:space="preserve">    if not valid_catalog_id(identifier):</w:t>
        <w:br/>
        <w:t xml:space="preserve">        return {'status': 'invalid_input'}</w:t>
        <w:br/>
        <w:t xml:space="preserve">    entry = catalog.get(identifier)</w:t>
        <w:br/>
        <w:t xml:space="preserve">    if entry is None:</w:t>
        <w:br/>
        <w:t xml:space="preserve">        return {'status': 'not_found'}</w:t>
        <w:br/>
        <w:t xml:space="preserve">    if entry['access'] != 'public' and trusted_role != 'teacher':</w:t>
        <w:br/>
        <w:t xml:space="preserve">        return {'status': 'not_authorised'}</w:t>
        <w:br/>
        <w:t xml:space="preserve">    return {'status': 'found', 'capacity': entry['capacity']}</w:t>
        <w:br/>
        <w:br/>
        <w:t>print(valid_room_id('B2'))</w:t>
        <w:br/>
        <w:t>print(valid_catalog_id('AB7'))</w:t>
        <w:br/>
        <w:t>print(lookup_catalog('AB7', 'student'))</w:t>
        <w:br/>
        <w:t>print(lookup_catalog('CT8', 'student'))</w:t>
        <w:br/>
        <w:t>print(lookup_catalog('AB7; send()', 'student'))</w:t>
        <w:br/>
      </w:r>
    </w:p>
    <w:p>
      <w:pPr>
        <w:pStyle w:val="Heading2"/>
      </w:pPr>
      <w:r>
        <w:t>Predict the lowercase change</w:t>
      </w:r>
    </w:p>
    <w:p>
      <w:pPr>
        <w:pStyle w:val="ListBullet"/>
      </w:pPr>
      <w:r>
        <w:t>Change one thing: Change AB7 to Ab7.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15" name="Picture 15" descr="Original case: Pattern acceptance only allows the next lookup check; it grants no access to restricted records. Changed condition: Change AB7 to Ab7. Expected result: Reject it under the exact uppercase rule. Reason: Lowercase b fails the declared pattern even though the identifier looks simil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Name limits of format validation</w:t>
      </w:r>
    </w:p>
    <w:p>
      <w:pPr>
        <w:pStyle w:val="ListBullet"/>
      </w:pPr>
      <w:r>
        <w:t>Strict formatting is one boundary; it does not solve every injection or authorisation problem.</w:t>
      </w:r>
    </w:p>
    <w:p>
      <w:pPr>
        <w:pStyle w:val="ListBullet"/>
      </w:pPr>
      <w:r>
        <w:t>Read the labelled picture: If AB7 passes the pattern, may it access teacher-only material? Point to the relevant step in the picture, then write the changed result and the rule or evidence that supports it.</w:t>
      </w:r>
    </w:p>
    <w:p>
      <w:pPr>
        <w:pStyle w:val="Heading2"/>
      </w:pPr>
      <w:r>
        <w:t>Separate room-format practice and original code · reference / check after trying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</w:t>
      </w:r>
    </w:p>
    <w:p>
      <w:pPr>
        <w:spacing w:line="336" w:lineRule="auto" w:after="180"/>
      </w:pPr>
      <w:r>
        <w:rPr>
          <w:b w:val="0"/>
        </w:rPr>
        <w:t>A1 passes the format; delete_all() fails. Neither is executed as code, including any instruction-shaped string.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</w:t>
      </w:r>
      <w:r>
        <w:rPr>
          <w:b/>
        </w:rPr>
        <w:t>boundary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import re</w:t>
        <w:br/>
        <w:br/>
        <w:t>def validate_identifier(value):</w:t>
        <w:br/>
        <w:t xml:space="preserve">    return type(value) is str and re.fullmatch('[A-Z][0-9]', value) is not None</w:t>
        <w:br/>
        <w:br/>
        <w:t>print(validate_identifier("B2"))</w:t>
      </w:r>
    </w:p>
    <w:p>
      <w:pPr>
        <w:pStyle w:val="Heading2"/>
      </w:pPr>
      <w:r>
        <w:t>Extension · Unresolved capacity sources · reference / check after trying</w:t>
      </w:r>
    </w:p>
    <w:p>
      <w:pPr>
        <w:spacing w:line="336" w:lineRule="auto" w:after="180"/>
      </w:pPr>
      <w:r>
        <w:rPr>
          <w:b w:val="0"/>
        </w:rPr>
        <w:t>Approval names room B, but two registers give capacities 8 and 12 with no precedence rule. The question asks maximum attendance.</w:t>
      </w:r>
    </w:p>
    <w:p>
      <w:pPr>
        <w:spacing w:line="336" w:lineRule="auto" w:after="180"/>
      </w:pPr>
      <w:r>
        <w:rPr>
          <w:b w:val="0"/>
        </w:rPr>
        <w:t>Do not pick the larger or smaller value as established fact. Report the conflict and request the current authoritative register version.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6" name="Picture 16" descr="Worked evidence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f10308f2601446e223284e7d3c4eeee146f24bf312a5209e9b3170d761c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1. Low risk: answer a source-grounded study question.</w:t>
      </w:r>
    </w:p>
    <w:p>
      <w:pPr>
        <w:spacing w:line="336" w:lineRule="auto" w:after="180"/>
      </w:pPr>
      <w:r>
        <w:rPr>
          <w:b w:val="0"/>
        </w:rPr>
        <w:t>2. Uncertain risk: warn, ask for context, or request adult help.</w:t>
      </w:r>
    </w:p>
    <w:p>
      <w:pPr>
        <w:spacing w:line="336" w:lineRule="auto" w:after="180"/>
      </w:pPr>
      <w:r>
        <w:rPr>
          <w:b w:val="0"/>
        </w:rPr>
        <w:t>3. Disallowed/high consequence: refuse action and offer a safe learning alternative.</w:t>
      </w:r>
    </w:p>
    <w:p>
      <w:pPr>
        <w:spacing w:line="336" w:lineRule="auto" w:after="180"/>
      </w:pPr>
      <w:r>
        <w:rPr>
          <w:b w:val="0"/>
        </w:rPr>
        <w:t>4. Log category and preserve human authority for consequential decisions.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Safety Boundaries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7" name="Picture 17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Find a format check mistaken for complete protection</w:t>
      </w:r>
    </w:p>
    <w:p>
      <w:r>
        <w:t>Keep input validity, access and allowed actions as separate decisions.</w:t>
      </w:r>
    </w:p>
    <w:p>
      <w:pPr>
        <w:pStyle w:val="Heading2"/>
      </w:pPr>
      <w:r>
        <w:t>Repair format and silent-cleanup shortcuts</w:t>
      </w:r>
    </w:p>
    <w:p>
      <w:pPr>
        <w:spacing w:line="336" w:lineRule="auto" w:after="180"/>
      </w:pPr>
      <w:r>
        <w:rPr>
          <w:b w:val="0"/>
        </w:rPr>
        <w:t>Claim to repair: AB7 passes the pattern, so its requester can read any record. Format checks only the identifier’s shape. A trusted access rule must still reject restricted material. Another shortcut is trimming or changing case without a declared policy: B2 plus a newline is not the same accepted input under this exact contract. Do not run input text as code or strip an appended operation to make it appear valid.</w:t>
      </w:r>
    </w:p>
    <w:p>
      <w:pPr>
        <w:pStyle w:val="Heading2"/>
      </w:pPr>
      <w:r>
        <w:t>Design a revealing follow-up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Misconception diagnosis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f34c06e0c6071639eea7b803bb30735b7216d7061ab9d3c98cbe7391edb4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the one-letter room contract with less help</w:t>
      </w:r>
    </w:p>
    <w:p>
      <w:r>
        <w:t>Keep this W2 distinct from the pictured two-letter catalogue schema.</w:t>
      </w:r>
    </w:p>
    <w:p>
      <w:pPr>
        <w:pStyle w:val="Heading2"/>
      </w:pPr>
      <w:r>
        <w:t>Complete room-format W2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Untrusted input</w:t>
      </w:r>
      <w:r>
        <w:rPr>
          <w:b w:val="0"/>
        </w:rPr>
        <w:t xml:space="preserve">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Audit a format-as-permission claim</w:t>
      </w:r>
    </w:p>
    <w:p>
      <w:pPr>
        <w:pStyle w:val="ListBullet"/>
      </w:pPr>
      <w:r>
        <w:t>Use the worked case for Untrusted input boundaries.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catalogue access limits</w:t>
      </w:r>
    </w:p>
    <w:p>
      <w:pPr>
        <w:pStyle w:val="ListBullet"/>
      </w:pPr>
      <w:r>
        <w:t>If AB7 passes the pattern, may it access teacher-only material?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independent work separate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Logic tracing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format check does not grant resource access; authorisation follows separately.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Abstention and clarification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abstention</w:t>
      </w:r>
      <w:r>
        <w:rPr>
          <w:b w:val="0"/>
        </w:rPr>
        <w:t xml:space="preserve"> avoids an unsupported answer but does not automatically make a system useful; evaluate appropriate answers and appropriate fallbacks separately.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Practise the connected topic: Abstention and clarification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The worked result establishes every future case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Apply boundaries to six complete classroom cases</w:t>
      </w:r>
    </w:p>
    <w:p>
      <w:r>
        <w:t>A useful policy allows ordinary supported work as well as blocking outside-scope requests.</w:t>
      </w:r>
    </w:p>
    <w:p>
      <w:pPr>
        <w:pStyle w:val="Heading2"/>
      </w:pPr>
      <w:r>
        <w:t>All supplied requests and authority facts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fictional request and evidence</w:t>
            </w:r>
          </w:p>
        </w:tc>
        <w:tc>
          <w:tcPr>
            <w:tcW w:type="dxa" w:w="5112"/>
          </w:tcPr>
          <w:p>
            <w:r>
              <w:t>Expected bounded behavior</w:t>
            </w:r>
          </w:p>
        </w:tc>
      </w:tr>
      <w:tr>
        <w:tc>
          <w:tcPr>
            <w:tcW w:type="dxa" w:w="5112"/>
          </w:tcPr>
          <w:p>
            <w:r>
              <w:t>A · Catalogue AB7, public entry capacity 12, trusted student session.</w:t>
            </w:r>
          </w:p>
        </w:tc>
        <w:tc>
          <w:tcPr>
            <w:tcW w:type="dxa" w:w="5112"/>
          </w:tcPr>
          <w:p>
            <w:r>
              <w:t>Allow read-only eligible lookup and return supplied capacity 12.</w:t>
            </w:r>
          </w:p>
        </w:tc>
      </w:tr>
      <w:tr>
        <w:tc>
          <w:tcPr>
            <w:tcW w:type="dxa" w:w="5112"/>
          </w:tcPr>
          <w:p>
            <w:r>
              <w:t>B · Catalogue CT8, teacher-only entry, trusted student session.</w:t>
            </w:r>
          </w:p>
        </w:tc>
        <w:tc>
          <w:tcPr>
            <w:tcW w:type="dxa" w:w="5112"/>
          </w:tcPr>
          <w:p>
            <w:r>
              <w:t>Decline restricted lookup result; well-formed ID does not grant access.</w:t>
            </w:r>
          </w:p>
        </w:tc>
      </w:tr>
      <w:tr>
        <w:tc>
          <w:tcPr>
            <w:tcW w:type="dxa" w:w="5112"/>
          </w:tcPr>
          <w:p>
            <w:r>
              <w:t>C · Catalogue AB7; send(), no send operation allowed.</w:t>
            </w:r>
          </w:p>
        </w:tc>
        <w:tc>
          <w:tcPr>
            <w:tcW w:type="dxa" w:w="5112"/>
          </w:tcPr>
          <w:p>
            <w:r>
              <w:t>Reject exact input format; never execute command-shaped text.</w:t>
            </w:r>
          </w:p>
        </w:tc>
      </w:tr>
      <w:tr>
        <w:tc>
          <w:tcPr>
            <w:tcW w:type="dxa" w:w="5112"/>
          </w:tcPr>
          <w:p>
            <w:r>
              <w:t>D · Request says the room with no ID, two public rooms available.</w:t>
            </w:r>
          </w:p>
        </w:tc>
        <w:tc>
          <w:tcPr>
            <w:tcW w:type="dxa" w:w="5112"/>
          </w:tcPr>
          <w:p>
            <w:r>
              <w:t>Ask which room ID rather than choose one.</w:t>
            </w:r>
          </w:p>
        </w:tc>
      </w:tr>
      <w:tr>
        <w:tc>
          <w:tcPr>
            <w:tcW w:type="dxa" w:w="5112"/>
          </w:tcPr>
          <w:p>
            <w:r>
              <w:t>E · Approval B, registers capacities 8 and 12, no precedence rule.</w:t>
            </w:r>
          </w:p>
        </w:tc>
        <w:tc>
          <w:tcPr>
            <w:tcW w:type="dxa" w:w="5112"/>
          </w:tcPr>
          <w:p>
            <w:r>
              <w:t>Preserve conflict and request authoritative current version; no established unconditional capacity.</w:t>
            </w:r>
          </w:p>
        </w:tc>
      </w:tr>
      <w:tr>
        <w:tc>
          <w:tcPr>
            <w:tcW w:type="dxa" w:w="5112"/>
          </w:tcPr>
          <w:p>
            <w:r>
              <w:t>F · Valid public lookup request but record absent.</w:t>
            </w:r>
          </w:p>
        </w:tc>
        <w:tc>
          <w:tcPr>
            <w:tcW w:type="dxa" w:w="5112"/>
          </w:tcPr>
          <w:p>
            <w:r>
              <w:t>Report not found; do not invent zero or expand the allowed operation.</w:t>
            </w:r>
          </w:p>
        </w:tc>
      </w:tr>
    </w:tbl>
    <w:p>
      <w:pPr>
        <w:pStyle w:val="Heading2"/>
      </w:pPr>
      <w:r>
        <w:t>Classify, justify and check both kinds of error</w:t>
      </w:r>
    </w:p>
    <w:p>
      <w:pPr>
        <w:pStyle w:val="ListNumber"/>
      </w:pPr>
      <w:r>
        <w:t>Classify each complete card by its first boundary: ordinary eligible lookup, invalid input, restricted access or unresolved evidence. Write allow, clarify, needs_review or decline with a precise reason; a warning alone must not bypass a failed gate. Test over-refusal by keeping A available, and unsafe compliance by refusing B/C. E needs a source owner to resolve the version conflict; this is human review for missing authority, not permission to guess. Trace the complete program only for its supplied catalogue cases; the room/source-conflict cards are separate policy exercises. No outside system or actual side effect is used. Keep the independent B2 format task withheld.</w:t>
      </w:r>
    </w:p>
    <w:p>
      <w:pPr>
        <w:pStyle w:val="Heading2"/>
      </w:pPr>
      <w:r>
        <w:t>Keep the boundary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Evidence lab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61fab7f62bb8b2e630927b1d401c26fe92388699d9d5b2648b21b0936beb5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six complete fictional request cards. Separate format, access, read-only operation and missing-evidence checks; test over-</w:t>
      </w:r>
      <w:r>
        <w:rPr>
          <w:b/>
        </w:rPr>
        <w:t>refusal</w:t>
      </w:r>
      <w:r>
        <w:rPr>
          <w:b w:val="0"/>
        </w:rPr>
        <w:t xml:space="preserve"> on the ordinary public case and unsafe compliance on restricted or invalid cases. Trace only declared toy behavior, not real external actions.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classify fresh room-format inputs</w:t>
      </w:r>
    </w:p>
    <w:p>
      <w:r>
        <w:t>Apply the room schema rather than the catalogue schema.</w:t>
      </w:r>
    </w:p>
    <w:p>
      <w:pPr>
        <w:pStyle w:val="Heading2"/>
      </w:pPr>
      <w:r>
        <w:t>Independent inputs and exact contract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spacing w:line="336" w:lineRule="auto" w:after="180"/>
      </w:pPr>
      <w:r>
        <w:rPr>
          <w:b w:val="0"/>
        </w:rPr>
        <w:t>Use the one-uppercase-ASCII-letter plus one-ASCII-digit room contract, with no trimming or extra characters. The task’s four strings are inputs as written, not executable code. After format acceptance, access and exact lookup remain separate checks; no real room registry or operation is supplied.</w:t>
      </w:r>
    </w:p>
    <w:p>
      <w:pPr>
        <w:pStyle w:val="Heading2"/>
      </w:pPr>
      <w:r>
        <w:t>Your first attempt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Week 31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study tool is asked to make a high-stakes personal decision outside its learning purpose. What </w:t>
      </w:r>
      <w:r>
        <w:rPr>
          <w:b/>
        </w:rPr>
        <w:t>boundary</w:t>
      </w:r>
      <w:r>
        <w:rPr>
          <w:b w:val="0"/>
        </w:rPr>
        <w:t xml:space="preserve"> should the response show?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 xml:space="preserve">Change one relevant detail. Predict the result before testing. Include a </w:t>
      </w:r>
      <w:r>
        <w:rPr>
          <w:b/>
        </w:rPr>
        <w:t>boundary</w:t>
      </w:r>
      <w:r>
        <w:rPr>
          <w:b w:val="0"/>
        </w:rPr>
        <w:t xml:space="preserve">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Implement risk levels, </w:t>
      </w:r>
      <w:r>
        <w:rPr>
          <w:b/>
        </w:rPr>
        <w:t>refusal</w:t>
      </w:r>
      <w:r>
        <w:rPr>
          <w:b w:val="0"/>
        </w:rPr>
        <w:t xml:space="preserve"> language, safe alternatives, and teacher-review gates.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the project’s safety policy executable and useful</w:t>
      </w:r>
    </w:p>
    <w:p>
      <w:r>
        <w:t>Define a failure path for each boundary rather than one generic warning.</w:t>
      </w:r>
    </w:p>
    <w:p>
      <w:pPr>
        <w:pStyle w:val="Heading2"/>
      </w:pPr>
      <w:r>
        <w:t>This week’s contribution</w:t>
      </w:r>
    </w:p>
    <w:p>
      <w:pPr>
        <w:spacing w:line="336" w:lineRule="auto" w:after="180"/>
      </w:pPr>
      <w:r>
        <w:rPr>
          <w:b w:val="0"/>
        </w:rPr>
        <w:t>For the Verified Study Buddy, specify exact input formats, trusted role sources, eligible data, allowed operations and each fallback. Keep user-supplied claims outside trusted permissions. Test an ordinary supported request alongside invalid, restricted and missing-evidence cases. Human review should name the missing decision or source authority; it is not a substitute for enforcing access before disclosure.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Retain the checkpoint and human choice</w:t>
      </w:r>
    </w:p>
    <w:p>
      <w:pPr>
        <w:spacing w:line="336" w:lineRule="auto" w:after="180"/>
      </w:pPr>
      <w:r>
        <w:rPr>
          <w:b w:val="0"/>
        </w:rPr>
        <w:t xml:space="preserve">THIS WEEK’S CHECKPOINT  Implement risk levels, </w:t>
      </w:r>
      <w:r>
        <w:rPr>
          <w:b/>
        </w:rPr>
        <w:t>refusal</w:t>
      </w:r>
      <w:r>
        <w:rPr>
          <w:b w:val="0"/>
        </w:rPr>
        <w:t xml:space="preserve"> language, safe alternatives, and teacher-review gates.</w:t>
      </w:r>
    </w:p>
    <w:p>
      <w:pPr>
        <w:spacing w:line="336" w:lineRule="auto" w:after="180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7d1207b302aea5959b66b0d9ac7c373defb80e0d3f5876b297b0f34ed3fc8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name the boundary and the specific fallback</w:t>
      </w:r>
    </w:p>
    <w:p>
      <w:r>
        <w:t>A valid string is not permission, and missing evidence is not a measured zero.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Explain the mechanism and terminology of untrusted input boundaries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Words for the main lesson and extension</w:t>
      </w:r>
    </w:p>
    <w:p>
      <w:r>
        <w:t>Use each word with a concrete record or calculation.</w:t>
      </w:r>
    </w:p>
    <w:p>
      <w:pPr>
        <w:pStyle w:val="Heading2"/>
      </w:pPr>
      <w:r>
        <w:t>Core words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refusal</w:t>
            </w:r>
          </w:p>
        </w:tc>
        <w:tc>
          <w:tcPr>
            <w:tcW w:type="dxa" w:w="3408"/>
          </w:tcPr>
          <w:p>
            <w:r>
              <w:t>A decision not to perform a request because it is outside the system's permitted scope.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escalation</w:t>
            </w:r>
          </w:p>
        </w:tc>
        <w:tc>
          <w:tcPr>
            <w:tcW w:type="dxa" w:w="3408"/>
          </w:tcPr>
          <w:p>
            <w:r>
              <w:t>Passing a problem or decision to a person or process with appropriate authority or expertise.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safe completion</w:t>
            </w:r>
          </w:p>
        </w:tc>
        <w:tc>
          <w:tcPr>
            <w:tcW w:type="dxa" w:w="3408"/>
          </w:tcPr>
          <w:p>
            <w:r>
              <w:t>A response that helps with the permitted part of a task while respecting its boundaries.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Main explanation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Untrusted input</w:t>
            </w:r>
          </w:p>
        </w:tc>
        <w:tc>
          <w:tcPr>
            <w:tcW w:type="dxa" w:w="5112"/>
          </w:tcPr>
          <w:p>
            <w:r>
              <w:t>Data whose claims or control intent have not been authorised</w:t>
            </w:r>
          </w:p>
        </w:tc>
      </w:tr>
      <w:tr>
        <w:tc>
          <w:tcPr>
            <w:tcW w:type="dxa" w:w="5112"/>
          </w:tcPr>
          <w:p>
            <w:r>
              <w:t>Full match</w:t>
            </w:r>
          </w:p>
        </w:tc>
        <w:tc>
          <w:tcPr>
            <w:tcW w:type="dxa" w:w="5112"/>
          </w:tcPr>
          <w:p>
            <w:r>
              <w:t>Validation covering the whole input</w:t>
            </w:r>
          </w:p>
        </w:tc>
      </w:tr>
      <w:tr>
        <w:tc>
          <w:tcPr>
            <w:tcW w:type="dxa" w:w="5112"/>
          </w:tcPr>
          <w:p>
            <w:r>
              <w:t>Injection boundary</w:t>
            </w:r>
          </w:p>
        </w:tc>
        <w:tc>
          <w:tcPr>
            <w:tcW w:type="dxa" w:w="5112"/>
          </w:tcPr>
          <w:p>
            <w:r>
              <w:t>A separation preventing data from becoming executable control</w:t>
            </w:r>
          </w:p>
        </w:tc>
      </w:tr>
    </w:tbl>
    <w:p>
      <w:pPr>
        <w:pStyle w:val="Heading2"/>
      </w:pPr>
      <w:r>
        <w:t>Extension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Abstention</w:t>
            </w:r>
          </w:p>
        </w:tc>
        <w:tc>
          <w:tcPr>
            <w:tcW w:type="dxa" w:w="5112"/>
          </w:tcPr>
          <w:p>
            <w:r>
              <w:t>Declining to state an unsupported conclusion</w:t>
            </w:r>
          </w:p>
        </w:tc>
      </w:tr>
      <w:tr>
        <w:tc>
          <w:tcPr>
            <w:tcW w:type="dxa" w:w="5112"/>
          </w:tcPr>
          <w:p>
            <w:r>
              <w:t>Clarification</w:t>
            </w:r>
          </w:p>
        </w:tc>
        <w:tc>
          <w:tcPr>
            <w:tcW w:type="dxa" w:w="5112"/>
          </w:tcPr>
          <w:p>
            <w:r>
              <w:t>A targeted request for missing or ambiguous information</w:t>
            </w:r>
          </w:p>
        </w:tc>
      </w:tr>
      <w:tr>
        <w:tc>
          <w:tcPr>
            <w:tcW w:type="dxa" w:w="5112"/>
          </w:tcPr>
          <w:p>
            <w:r>
              <w:t>Answerability</w:t>
            </w:r>
          </w:p>
        </w:tc>
        <w:tc>
          <w:tcPr>
            <w:tcW w:type="dxa" w:w="5112"/>
          </w:tcPr>
          <w:p>
            <w:r>
              <w:t>Whether supplied evidence can support the requested conclusion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697120776e9e7930a43017af6a05b86ed2ca9289bbff3c679cc0d66ccc3ab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 descr="Vocabulary badge: refus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bc8c7dee837dd57e776e7bb0312df6c98705f42cc8eb149f80b6ba70527e7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 descr="Vocabulary badge: esca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b69afc8a308f3bae6d7415b9d35f1ea06434794c3c1929e08c416b02aa0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 descr="Vocabulary badge: safe comple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72ec5139554760938ec19c4e278c977f6cb55dd76a7bacbe7e8891a99bbae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Words used in the closer explanation</w:t>
      </w:r>
    </w:p>
    <w:p>
      <w:pPr>
        <w:pStyle w:val="Heading3"/>
      </w:pPr>
      <w:r>
        <w:t>Terms for Abstention and clarification</w:t>
      </w:r>
    </w:p>
    <w:p>
      <w:pPr>
        <w:pStyle w:val="Heading1"/>
      </w:pPr>
      <w:r>
        <w:t>10. Extra challenge · Choose a stronger explanation</w:t>
      </w:r>
    </w:p>
    <w:p>
      <w:r>
        <w:t>Choose the next useful challenge rather than repeating the ladder.</w:t>
      </w:r>
    </w:p>
    <w:p>
      <w:pPr>
        <w:pStyle w:val="Heading2"/>
      </w:pPr>
      <w:r>
        <w:t>Thinking ladder</w:t>
      </w:r>
    </w:p>
    <w:p>
      <w:pPr>
        <w:pStyle w:val="ListBullet"/>
      </w:pPr>
      <w:r>
        <w:t>1 • NAME: Define the concept without repeating the textbook.</w:t>
      </w:r>
    </w:p>
    <w:p>
      <w:pPr>
        <w:pStyle w:val="ListBullet"/>
      </w:pPr>
      <w:r>
        <w:t>2 • TRACE: Show the information, state, branch, calculation, or evidence path.</w:t>
      </w:r>
    </w:p>
    <w:p>
      <w:pPr>
        <w:pStyle w:val="ListBullet"/>
      </w:pPr>
      <w:r>
        <w:t>3 • APPLY: Solve a different example independently.</w:t>
      </w:r>
    </w:p>
    <w:p>
      <w:pPr>
        <w:pStyle w:val="ListBullet"/>
      </w:pPr>
      <w:r>
        <w:t>4 • CHALLENGE: Find a boundary case, counterexample, or unfair outcome.</w:t>
      </w:r>
    </w:p>
    <w:p>
      <w:pPr>
        <w:pStyle w:val="ListBullet"/>
      </w:pPr>
      <w:r>
        <w:t>5 • EXPLAIN LIMITS: Say when the result should not be trusted or used alone.</w:t>
      </w:r>
    </w:p>
    <w:p>
      <w:pPr>
        <w:pStyle w:val="ListBullet"/>
      </w:pPr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6" name="Picture 26" descr="Mastery ladder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Reference · Check your explanation</w:t>
      </w:r>
    </w:p>
    <w:p>
      <w:r>
        <w:t>Use after practice; Classify the fresh room-ID strings independently is the selected independent task.</w:t>
      </w:r>
    </w:p>
    <w:p>
      <w:pPr>
        <w:pStyle w:val="Heading2"/>
      </w:pPr>
      <w:r>
        <w:t>Evidence and limits</w:t>
      </w:r>
    </w:p>
    <w:p>
      <w:pPr>
        <w:pStyle w:val="ListBullet"/>
      </w:pPr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Self-check</w:t>
      </w:r>
    </w:p>
    <w:p>
      <w:pPr>
        <w:spacing w:line="336" w:lineRule="auto" w:after="180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Checklist for this week’s explanation</w:t>
      </w:r>
    </w:p>
    <w:p>
      <w:pPr>
        <w:spacing w:line="336" w:lineRule="auto" w:after="180"/>
      </w:pPr>
      <w:r>
        <w:rPr>
          <w:b w:val="0"/>
        </w:rPr>
        <w:t>Use after practice. Classify the fresh room-ID strings independently is the selected independent task.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7" name="Picture 27" descr="Independent proof graphic for Safety Bounda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55ece06b5306f50400693e838450f3b5ab6aaad9deddaefc4da1d6e81ed5b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Require the one-letter format, safe data handling and separate access checks.</w:t>
      </w:r>
    </w:p>
    <w:p>
      <w:pPr>
        <w:pStyle w:val="Heading1"/>
      </w:pPr>
      <w:r>
        <w:t>13. Extra practice · The earlier complete case</w:t>
      </w:r>
    </w:p>
    <w:p>
      <w:r>
        <w:t>Try the question before opening the worked explanation.</w:t>
      </w:r>
    </w:p>
    <w:p>
      <w:pPr>
        <w:pStyle w:val="Heading2"/>
      </w:pPr>
      <w:r>
        <w:t>Question and given facts</w:t>
      </w:r>
    </w:p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A classroom study tool should not decide individual treatment. Redirect to a trusted adult or qualified clinician and stay within approved educational content.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Study explanation</w:t>
            </w:r>
          </w:p>
        </w:tc>
        <w:tc>
          <w:tcPr>
            <w:tcW w:type="dxa" w:w="5112"/>
          </w:tcPr>
          <w:p>
            <w:r>
              <w:t>Approved educational content</w:t>
            </w:r>
          </w:p>
        </w:tc>
      </w:tr>
      <w:tr>
        <w:tc>
          <w:tcPr>
            <w:tcW w:type="dxa" w:w="5112"/>
          </w:tcPr>
          <w:p>
            <w:r>
              <w:t>Individual treatment</w:t>
            </w:r>
          </w:p>
        </w:tc>
        <w:tc>
          <w:tcPr>
            <w:tcW w:type="dxa" w:w="5112"/>
          </w:tcPr>
          <w:p>
            <w:r>
              <w:t>Outside this product's role</w:t>
            </w:r>
          </w:p>
        </w:tc>
      </w:tr>
      <w:tr>
        <w:tc>
          <w:tcPr>
            <w:tcW w:type="dxa" w:w="5112"/>
          </w:tcPr>
          <w:p>
            <w:r>
              <w:t>Response</w:t>
            </w:r>
          </w:p>
        </w:tc>
        <w:tc>
          <w:tcPr>
            <w:tcW w:type="dxa" w:w="5112"/>
          </w:tcPr>
          <w:p>
            <w:r>
              <w:t>Direct to appropriate human help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31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Keep a study tool inside its role</w:t>
      </w:r>
    </w:p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classroom study tool should not decide individual treatment. Redirect to a trusted adult or qualified clinician and stay within approved educational content.</w:t>
      </w:r>
    </w:p>
    <w:p>
      <w:pPr>
        <w:pStyle w:val="Heading1"/>
      </w:pPr>
      <w:r>
        <w:t>15. Reference · Earlier checklist</w:t>
      </w:r>
    </w:p>
    <w:p>
      <w:r>
        <w:t>Use when it helps inspect the evidence.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untrusted input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pStyle w:val="Heading1"/>
      </w:pPr>
      <w:r>
        <w:t>17.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Make a strict lookup identifier boundary visible.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Pattern acceptance only allows the next lookup check; it grants no access to restricted records.</w:t>
      </w:r>
    </w:p>
    <w:p>
      <w:pPr>
        <w:pStyle w:val="ListBullet"/>
      </w:pPr>
      <w:r>
        <w:t>1. Separate authority</w:t>
      </w:r>
    </w:p>
    <w:p>
      <w:pPr>
        <w:pStyle w:val="ListBullet"/>
      </w:pPr>
      <w:r>
        <w:t>2. Check pattern</w:t>
      </w:r>
    </w:p>
    <w:p>
      <w:pPr>
        <w:pStyle w:val="ListBullet"/>
      </w:pPr>
      <w:r>
        <w:t>3. Reject extra text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ListBullet"/>
      </w:pPr>
      <w:r>
        <w:t>After your attempt, compare with the supported explanation: Separate authority Pattern acceptance only allows the next lookup check; it grants no access to restricted records. 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Check after trying · reference / check after trying</w:t>
      </w:r>
    </w:p>
    <w:p>
      <w:pPr>
        <w:pStyle w:val="Heading3"/>
      </w:pPr>
      <w:r>
        <w:t>Practice 2: explain the deciding evidence</w:t>
      </w:r>
    </w:p>
    <w:p>
      <w:pPr>
        <w:pStyle w:val="Heading2"/>
      </w:pPr>
      <w:r>
        <w:t>Changed-case question</w:t>
      </w:r>
    </w:p>
    <w:p>
      <w:pPr>
        <w:pStyle w:val="ListBullet"/>
      </w:pPr>
      <w:r>
        <w:t>Changed-case practice: Change AB7 to Ab7.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Reject it under the exact uppercase rule.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ListBullet"/>
      </w:pPr>
      <w:r>
        <w:t>After your attempt, compare with the supported explanation: Reject it under the exact uppercase rule. Lowercase b fails the declared pattern even though the identifier looks similar.</w:t>
      </w:r>
    </w:p>
    <w:p>
      <w:pPr>
        <w:pStyle w:val="Heading2"/>
      </w:pPr>
      <w:r>
        <w:t>Check changed case · reference / check after trying</w:t>
      </w:r>
    </w:p>
    <w:p>
      <w:pPr>
        <w:pStyle w:val="Heading3"/>
      </w:pPr>
      <w:r>
        <w:t>Repair a missing building block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Bias and Representation (ai-3/30). Goal: Explain the </w:t>
      </w:r>
      <w:r>
        <w:rPr>
          <w:b/>
        </w:rPr>
        <w:t>mechanism</w:t>
      </w:r>
      <w:r>
        <w:rPr>
          <w:b w:val="0"/>
        </w:rPr>
        <w:t xml:space="preserve"> and terminology of representation and bias evaluation. Short practice: Explain why comparing six correct answers in each group would mislead.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by Design (ai-3/28).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Which IDs and locations must appear in the deletion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Quality Rubrics (ai-3/25). Goal: Judge an output using separate observable rubric criteria. Short practice: Why is “one out of two checks passed” an insufficient release decision?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Revisit the picture that serves the current question.</w:t>
      </w:r>
    </w:p>
    <w:p>
      <w:pPr>
        <w:pStyle w:val="Heading2"/>
      </w:pPr>
      <w:r>
        <w:t>01. Safety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8" name="Picture 28" descr="Make a strict lookup identifier boundary visible. Supplied facts: Toy lookup accepts exactly two uppercase ASCII letters followed by one digit. Accepted example: AB7. No trimming or extra character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 Supplied facts: 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9" name="Picture 29" descr="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30" name="Picture 30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31" name="Picture 31" descr="Original case: Pattern acceptance only allows the next lookup check; it grants no access to restricted records. Changed condition: Change AB7 to Ab7. Expected result: Reject it under the exact uppercase rule. Reason: Lowercase b fails the declared pattern even though the identifier looks simil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Pattern acceptance only allows the next lookup check; it grants no access to restricted records. Changed condition: Change AB7 to Ab7. Expected result: Reject it under the exact uppercase rule.</w:t>
      </w:r>
    </w:p>
    <w:p>
      <w:pPr>
        <w:spacing w:line="336" w:lineRule="auto" w:after="180"/>
      </w:pPr>
      <w:r>
        <w:rPr>
          <w:b w:val="0"/>
        </w:rPr>
        <w:t>Reason: Lowercase b fails the declared pattern even though the identifier looks similar.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2" name="Picture 32" descr="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 Limit: Strict formatting is one boundary; it does not solve every injection or authorisation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Strict formatting is one </w:t>
      </w:r>
      <w:r>
        <w:rPr>
          <w:b/>
        </w:rPr>
        <w:t>boundary</w:t>
      </w:r>
      <w:r>
        <w:rPr>
          <w:b w:val="0"/>
        </w:rPr>
        <w:t>; it does not solve every injection or authorisation problem.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33" name="Picture 33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If AB7 passes the pattern, may it access teacher-only materia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Safety Boundaries: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Untrusted input boundaries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