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ai-6/30</w:t>
      </w:r>
    </w:p>
    <w:p>
      <w:pPr>
        <w:pStyle w:val="Title"/>
      </w:pPr>
      <w:r>
        <w:t>Security and privacy review</w:t>
      </w:r>
    </w:p>
    <w:p>
      <w:r>
        <w:t>Project: Grounded Learning Service</w:t>
      </w:r>
    </w:p>
    <w:p>
      <w:pPr>
        <w:pStyle w:val="Heading1"/>
      </w:pPr>
      <w:r>
        <w:t>Follow every copy. Check every declared path. Minimize each secondary use.</w:t>
      </w:r>
    </w:p>
    <w:p>
      <w:r>
        <w:t>Explain direct/cache bypasses and counts-only analytics with trusted actor and relationship limits.</w:t>
      </w:r>
    </w:p>
    <w:p>
      <w:r>
        <w:t>Access contract → route ledger → private-note picture → misuse probes → local path audit → independent export case.</w:t>
      </w:r>
    </w:p>
    <w:p>
      <w:pPr>
        <w:pStyle w:val="Heading1"/>
      </w:pPr>
      <w:r>
        <w:t>01. Follow restricted content through every declared return path</w:t>
      </w:r>
    </w:p>
    <w:p>
      <w:r>
        <w:t>A direct denial is insufficient if a cache or another route leaks the same content.</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security and </w:t>
      </w:r>
      <w:r>
        <w:rPr>
          <w:b/>
        </w:rPr>
        <w:t>privacy review</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trusted authority and cache context</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Performance and cost experiments. Give an example and a mistake that the idea helps you avoid.</w:t>
      </w:r>
    </w:p>
    <w:p>
      <w:pPr>
        <w:spacing w:line="336" w:lineRule="auto" w:after="180"/>
      </w:pPr>
      <w:r>
        <w:rPr>
          <w:b w:val="0"/>
        </w:rPr>
        <w:t>Without opening the old lesson, explain one key idea from Human escalation workflows. Give an example and a mistake that the idea helps you avoid.</w:t>
      </w:r>
    </w:p>
    <w:p>
      <w:pPr>
        <w:spacing w:line="336" w:lineRule="auto" w:after="180"/>
      </w:pPr>
      <w:r>
        <w:rPr>
          <w:b w:val="0"/>
        </w:rPr>
        <w:t>Without opening the old lesson, explain one key idea from Release and rollback.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Performance and cost experiments.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security and </w:t>
      </w:r>
      <w:r>
        <w:rPr>
          <w:b/>
        </w:rPr>
        <w:t>privacy review</w:t>
      </w:r>
      <w:r>
        <w:rPr>
          <w:b w:val="0"/>
        </w:rPr>
        <w:t xml:space="preserve">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security and </w:t>
      </w:r>
      <w:r>
        <w:rPr>
          <w:b/>
        </w:rPr>
        <w:t>privacy review</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Map the asset, actor, action and content path</w:t>
      </w:r>
    </w:p>
    <w:p>
      <w:r>
        <w:t>Apply the rule before restricted content reaches an unauthorized context.</w:t>
      </w:r>
    </w:p>
    <w:p>
      <w:pPr>
        <w:pStyle w:val="Heading2"/>
      </w:pPr>
      <w:r>
        <w:t>Begin with a locked cupboard and an exposed copy</w:t>
      </w:r>
    </w:p>
    <w:p>
      <w:pPr>
        <w:spacing w:line="336" w:lineRule="auto" w:after="180"/>
      </w:pPr>
      <w:r>
        <w:rPr>
          <w:b w:val="0"/>
        </w:rPr>
        <w:t>Imagine the teacher cupboard is locked but a copy of its answer sheet sits on an open desk. The locked cupboard alone does not protect the sheet. Review where restricted information is stored, copied, read, sent to context and returned. For each path, name the trusted actor and the permitted action.</w:t>
      </w:r>
    </w:p>
    <w:p>
      <w:pPr>
        <w:spacing w:line="336" w:lineRule="auto" w:after="180"/>
      </w:pPr>
      <w:r>
        <w:rPr>
          <w:b w:val="0"/>
        </w:rPr>
        <w:t>Use harmless markers and fictional notes to test the boundary; the lesson needs no real guide, learner record or credential.</w:t>
      </w:r>
    </w:p>
    <w:p>
      <w:pPr>
        <w:pStyle w:val="Heading2"/>
      </w:pPr>
      <w:r>
        <w:t>Define security and privacy review</w:t>
      </w:r>
    </w:p>
    <w:p>
      <w:pPr>
        <w:spacing w:line="336" w:lineRule="auto" w:after="180"/>
      </w:pPr>
      <w:r>
        <w:rPr>
          <w:b w:val="0"/>
        </w:rPr>
        <w:t xml:space="preserve">Security and </w:t>
      </w:r>
      <w:r>
        <w:rPr>
          <w:b/>
        </w:rPr>
        <w:t>privacy review</w:t>
      </w:r>
      <w:r>
        <w:rPr>
          <w:b w:val="0"/>
        </w:rPr>
        <w:t xml:space="preserve"> checks assets, actors, data flows and permissions against explicit threats. A clean happy path does not test misuse.</w:t>
      </w:r>
    </w:p>
    <w:p>
      <w:pPr>
        <w:pStyle w:val="Heading2"/>
      </w:pPr>
      <w:r>
        <w:t>Complete fictional access and data-flow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Asset/path</w:t>
            </w:r>
          </w:p>
        </w:tc>
        <w:tc>
          <w:tcPr>
            <w:tcW w:type="dxa" w:w="5112"/>
          </w:tcPr>
          <w:p>
            <w:r>
              <w:t>Complete fictional classroom policy</w:t>
            </w:r>
          </w:p>
        </w:tc>
      </w:tr>
      <w:tr>
        <w:tc>
          <w:tcPr>
            <w:tcW w:type="dxa" w:w="5112"/>
          </w:tcPr>
          <w:p>
            <w:r>
              <w:t>Main restricted guide</w:t>
            </w:r>
          </w:p>
        </w:tc>
        <w:tc>
          <w:tcPr>
            <w:tcW w:type="dxa" w:w="5112"/>
          </w:tcPr>
          <w:p>
            <w:r>
              <w:t>G1 contains an obvious fictional marker; teacher-1 may read, learner-1 may not</w:t>
            </w:r>
          </w:p>
        </w:tc>
      </w:tr>
      <w:tr>
        <w:tc>
          <w:tcPr>
            <w:tcW w:type="dxa" w:w="5112"/>
          </w:tcPr>
          <w:p>
            <w:r>
              <w:t>Trusted identity fixture</w:t>
            </w:r>
          </w:p>
        </w:tc>
        <w:tc>
          <w:tcPr>
            <w:tcW w:type="dxa" w:w="5112"/>
          </w:tcPr>
          <w:p>
            <w:r>
              <w:t>Actor/role registry supplied by harness; request-body role claims do not grant access</w:t>
            </w:r>
          </w:p>
        </w:tc>
      </w:tr>
      <w:tr>
        <w:tc>
          <w:tcPr>
            <w:tcW w:type="dxa" w:w="5112"/>
          </w:tcPr>
          <w:p>
            <w:r>
              <w:t>Main read routes</w:t>
            </w:r>
          </w:p>
        </w:tc>
        <w:tc>
          <w:tcPr>
            <w:tcW w:type="dxa" w:w="5112"/>
          </w:tcPr>
          <w:p>
            <w:r>
              <w:t>Direct and cache must apply the same trusted access gate before content lookup/context</w:t>
            </w:r>
          </w:p>
        </w:tc>
      </w:tr>
      <w:tr>
        <w:tc>
          <w:tcPr>
            <w:tcW w:type="dxa" w:w="5112"/>
          </w:tcPr>
          <w:p>
            <w:r>
              <w:t>Broken route illustration</w:t>
            </w:r>
          </w:p>
        </w:tc>
        <w:tc>
          <w:tcPr>
            <w:tcW w:type="dxa" w:w="5112"/>
          </w:tcPr>
          <w:p>
            <w:r>
              <w:t>Teacher guide is stored under a query-only student-accessible cache key</w:t>
            </w:r>
          </w:p>
        </w:tc>
      </w:tr>
      <w:tr>
        <w:tc>
          <w:tcPr>
            <w:tcW w:type="dxa" w:w="5112"/>
          </w:tcPr>
          <w:p>
            <w:r>
              <w:t>Repaired cache</w:t>
            </w:r>
          </w:p>
        </w:tc>
        <w:tc>
          <w:tcPr>
            <w:tcW w:type="dxa" w:w="5112"/>
          </w:tcPr>
          <w:p>
            <w:r>
              <w:t>Scoped teacher key plus current trusted gate; key alone is not authentication</w:t>
            </w:r>
          </w:p>
        </w:tc>
      </w:tr>
      <w:tr>
        <w:tc>
          <w:tcPr>
            <w:tcW w:type="dxa" w:w="5112"/>
          </w:tcPr>
          <w:p>
            <w:r>
              <w:t>Request schema</w:t>
            </w:r>
          </w:p>
        </w:tc>
        <w:tc>
          <w:tcPr>
            <w:tcW w:type="dxa" w:w="5112"/>
          </w:tcPr>
          <w:p>
            <w:r>
              <w:t>Exactly resource_id; unexpected role or other fields rejected</w:t>
            </w:r>
          </w:p>
        </w:tc>
      </w:tr>
      <w:tr>
        <w:tc>
          <w:tcPr>
            <w:tcW w:type="dxa" w:w="5112"/>
          </w:tcPr>
          <w:p>
            <w:r>
              <w:t>Separate private note N1</w:t>
            </w:r>
          </w:p>
        </w:tc>
        <w:tc>
          <w:tcPr>
            <w:tcW w:type="dxa" w:w="5112"/>
          </w:tcPr>
          <w:p>
            <w:r>
              <w:t>Text readable only by learner-1 and assigned teacher-1; teacher-2 is not assigned</w:t>
            </w:r>
          </w:p>
        </w:tc>
      </w:tr>
      <w:tr>
        <w:tc>
          <w:tcPr>
            <w:tcW w:type="dxa" w:w="5112"/>
          </w:tcPr>
          <w:p>
            <w:r>
              <w:t>Picture analytics</w:t>
            </w:r>
          </w:p>
        </w:tc>
        <w:tc>
          <w:tcPr>
            <w:tcW w:type="dxa" w:w="5112"/>
          </w:tcPr>
          <w:p>
            <w:r>
              <w:t>Only revision event kind enters count builder; dashboard gets revision_count, no note text or learner IDs</w:t>
            </w:r>
          </w:p>
        </w:tc>
      </w:tr>
      <w:tr>
        <w:tc>
          <w:tcPr>
            <w:tcW w:type="dxa" w:w="5112"/>
          </w:tcPr>
          <w:p>
            <w:r>
              <w:t>Privacy limit</w:t>
            </w:r>
          </w:p>
        </w:tc>
        <w:tc>
          <w:tcPr>
            <w:tcW w:type="dxa" w:w="5112"/>
          </w:tcPr>
          <w:p>
            <w:r>
              <w:t>Counts may still identify tiny groups; access, linkability and retention need separate review</w:t>
            </w:r>
          </w:p>
        </w:tc>
      </w:tr>
      <w:tr>
        <w:tc>
          <w:tcPr>
            <w:tcW w:type="dxa" w:w="5112"/>
          </w:tcPr>
          <w:p>
            <w:r>
              <w:t>Scope</w:t>
            </w:r>
          </w:p>
        </w:tc>
        <w:tc>
          <w:tcPr>
            <w:tcW w:type="dxa" w:w="5112"/>
          </w:tcPr>
          <w:p>
            <w:r>
              <w:t>Fictional local policy/path probes, not a complete security audit, real login or anonymity guarantee</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denied actor through direct and cached reads</w:t>
      </w:r>
    </w:p>
    <w:p>
      <w:r>
        <w:t>Verify the absence of unauthorized content reads, not just the final wording.</w:t>
      </w:r>
    </w:p>
    <w:p>
      <w:pPr>
        <w:pStyle w:val="Heading2"/>
      </w:pPr>
      <w:r>
        <w:t>Original assets and misuse-testing procedure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p>
      <w:pPr>
        <w:pStyle w:val="Heading2"/>
      </w:pPr>
      <w:r>
        <w:t>Complete route-by-role decision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declared path/probe</w:t>
            </w:r>
          </w:p>
        </w:tc>
        <w:tc>
          <w:tcPr>
            <w:tcW w:type="dxa" w:w="3408"/>
          </w:tcPr>
          <w:p>
            <w:r>
              <w:t>Expected result</w:t>
            </w:r>
          </w:p>
        </w:tc>
        <w:tc>
          <w:tcPr>
            <w:tcW w:type="dxa" w:w="3408"/>
          </w:tcPr>
          <w:p>
            <w:r>
              <w:t>Content-read trace</w:t>
            </w:r>
          </w:p>
        </w:tc>
      </w:tr>
      <w:tr>
        <w:tc>
          <w:tcPr>
            <w:tcW w:type="dxa" w:w="3408"/>
          </w:tcPr>
          <w:p>
            <w:r>
              <w:t>Broken student-accessible query-only cache</w:t>
            </w:r>
          </w:p>
        </w:tc>
        <w:tc>
          <w:tcPr>
            <w:tcW w:type="dxa" w:w="3408"/>
          </w:tcPr>
          <w:p>
            <w:r>
              <w:t>Contains restricted marker; direct denial cannot repair it</w:t>
            </w:r>
          </w:p>
        </w:tc>
        <w:tc>
          <w:tcPr>
            <w:tcW w:type="dxa" w:w="3408"/>
          </w:tcPr>
          <w:p>
            <w:r>
              <w:t>Unsafe storage/return path remains</w:t>
            </w:r>
          </w:p>
        </w:tc>
      </w:tr>
      <w:tr>
        <w:tc>
          <w:tcPr>
            <w:tcW w:type="dxa" w:w="3408"/>
          </w:tcPr>
          <w:p>
            <w:r>
              <w:t>Repaired direct route, learner-1 asks G1</w:t>
            </w:r>
          </w:p>
        </w:tc>
        <w:tc>
          <w:tcPr>
            <w:tcW w:type="dxa" w:w="3408"/>
          </w:tcPr>
          <w:p>
            <w:r>
              <w:t>Denied</w:t>
            </w:r>
          </w:p>
        </w:tc>
        <w:tc>
          <w:tcPr>
            <w:tcW w:type="dxa" w:w="3408"/>
          </w:tcPr>
          <w:p>
            <w:r>
              <w:t>Empty</w:t>
            </w:r>
          </w:p>
        </w:tc>
      </w:tr>
      <w:tr>
        <w:tc>
          <w:tcPr>
            <w:tcW w:type="dxa" w:w="3408"/>
          </w:tcPr>
          <w:p>
            <w:r>
              <w:t>Repaired cache route, learner-1 asks G1</w:t>
            </w:r>
          </w:p>
        </w:tc>
        <w:tc>
          <w:tcPr>
            <w:tcW w:type="dxa" w:w="3408"/>
          </w:tcPr>
          <w:p>
            <w:r>
              <w:t>Denied</w:t>
            </w:r>
          </w:p>
        </w:tc>
        <w:tc>
          <w:tcPr>
            <w:tcW w:type="dxa" w:w="3408"/>
          </w:tcPr>
          <w:p>
            <w:r>
              <w:t>Empty</w:t>
            </w:r>
          </w:p>
        </w:tc>
      </w:tr>
      <w:tr>
        <w:tc>
          <w:tcPr>
            <w:tcW w:type="dxa" w:w="3408"/>
          </w:tcPr>
          <w:p>
            <w:r>
              <w:t>Teacher-1 asks G1 through either repaired route</w:t>
            </w:r>
          </w:p>
        </w:tc>
        <w:tc>
          <w:tcPr>
            <w:tcW w:type="dxa" w:w="3408"/>
          </w:tcPr>
          <w:p>
            <w:r>
              <w:t>Allowed fictional guide</w:t>
            </w:r>
          </w:p>
        </w:tc>
        <w:tc>
          <w:tcPr>
            <w:tcW w:type="dxa" w:w="3408"/>
          </w:tcPr>
          <w:p>
            <w:r>
              <w:t>One permitted lookup each</w:t>
            </w:r>
          </w:p>
        </w:tc>
      </w:tr>
      <w:tr>
        <w:tc>
          <w:tcPr>
            <w:tcW w:type="dxa" w:w="3408"/>
          </w:tcPr>
          <w:p>
            <w:r>
              <w:t>Learner request adds role=teacher</w:t>
            </w:r>
          </w:p>
        </w:tc>
        <w:tc>
          <w:tcPr>
            <w:tcW w:type="dxa" w:w="3408"/>
          </w:tcPr>
          <w:p>
            <w:r>
              <w:t>Invalid input; no authority upgrade</w:t>
            </w:r>
          </w:p>
        </w:tc>
        <w:tc>
          <w:tcPr>
            <w:tcW w:type="dxa" w:w="3408"/>
          </w:tcPr>
          <w:p>
            <w:r>
              <w:t>No added lookup</w:t>
            </w:r>
          </w:p>
        </w:tc>
      </w:tr>
      <w:tr>
        <w:tc>
          <w:tcPr>
            <w:tcW w:type="dxa" w:w="3408"/>
          </w:tcPr>
          <w:p>
            <w:r>
              <w:t>Unknown trusted actor</w:t>
            </w:r>
          </w:p>
        </w:tc>
        <w:tc>
          <w:tcPr>
            <w:tcW w:type="dxa" w:w="3408"/>
          </w:tcPr>
          <w:p>
            <w:r>
              <w:t>Denied</w:t>
            </w:r>
          </w:p>
        </w:tc>
        <w:tc>
          <w:tcPr>
            <w:tcW w:type="dxa" w:w="3408"/>
          </w:tcPr>
          <w:p>
            <w:r>
              <w:t>No added lookup</w:t>
            </w:r>
          </w:p>
        </w:tc>
      </w:tr>
    </w:tbl>
    <w:p>
      <w:pPr>
        <w:pStyle w:val="Heading2"/>
      </w:pPr>
      <w:r>
        <w:t>State permission and path before judging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full-note storage in a counts-only dashboard</w:t>
      </w:r>
    </w:p>
    <w:p>
      <w:r>
        <w:t>A useful secondary feature does not create extra content authority.</w:t>
      </w:r>
    </w:p>
    <w:p>
      <w:pPr>
        <w:pStyle w:val="Heading2"/>
      </w:pPr>
      <w:r>
        <w:t>Current task and response</w:t>
      </w:r>
    </w:p>
    <w:p>
      <w:pPr>
        <w:pStyle w:val="ListBullet"/>
      </w:pPr>
      <w:r>
        <w:t>Output denies teacher guide, but cache contains it under a student-accessible key.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changed dashboard payload</w:t>
      </w:r>
    </w:p>
    <w:p>
      <w:pPr>
        <w:pStyle w:val="ListBullet"/>
      </w:pPr>
      <w:r>
        <w:t>Change: The dashboard starts storing full notes.</w:t>
      </w:r>
    </w:p>
    <w:p>
      <w:pPr>
        <w:pStyle w:val="Heading2"/>
      </w:pPr>
      <w:r>
        <w:t>Check after predicting · reference / check after trying</w:t>
      </w:r>
    </w:p>
    <w:p>
      <w:pPr>
        <w:spacing w:line="336" w:lineRule="auto" w:after="180"/>
      </w:pPr>
      <w:r>
        <w:rPr>
          <w:b/>
        </w:rPr>
        <w:t>Prediction</w:t>
      </w:r>
      <w:r>
        <w:rPr>
          <w:b w:val="0"/>
        </w:rPr>
        <w:t>: Flag the unapproved content path and remove it from the design.</w:t>
      </w:r>
    </w:p>
    <w:p>
      <w:pPr>
        <w:spacing w:line="336" w:lineRule="auto" w:after="180"/>
      </w:pPr>
      <w:r>
        <w:rPr>
          <w:b w:val="0"/>
        </w:rPr>
        <w:t>Reason: Its count-only purpose does not grant note-reading permission.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Follow private note text and minimized counts to different readers</w:t>
      </w:r>
    </w:p>
    <w:p>
      <w:r>
        <w:t>Do not treat a dashboard’s usefulness as permission to copy every detail.</w:t>
      </w:r>
    </w:p>
    <w:p>
      <w:pPr>
        <w:pStyle w:val="Heading2"/>
      </w:pPr>
      <w:r>
        <w:t>Main direct/cache leak and checked repair</w:t>
      </w:r>
    </w:p>
    <w:p>
      <w:pPr>
        <w:spacing w:line="336" w:lineRule="auto" w:after="180"/>
      </w:pPr>
      <w:r>
        <w:rPr>
          <w:b/>
        </w:rPr>
        <w:t>Output</w:t>
      </w:r>
      <w:r>
        <w:rPr>
          <w:b w:val="0"/>
        </w:rPr>
        <w:t xml:space="preserve"> denies teacher guide, but cache contains it under a student-accessible key.</w:t>
      </w:r>
    </w:p>
    <w:p>
      <w:pPr>
        <w:spacing w:line="336" w:lineRule="auto" w:after="180"/>
      </w:pPr>
      <w:r>
        <w:rPr>
          <w:b w:val="0"/>
        </w:rPr>
        <w:t xml:space="preserve">Access remains broken through the cache path. Review every storage/return path and assert restricted data never reaches student </w:t>
      </w:r>
      <w:r>
        <w:rPr>
          <w:b/>
        </w:rPr>
        <w:t>output</w:t>
      </w:r>
      <w:r>
        <w:rPr>
          <w:b w:val="0"/>
        </w:rPr>
        <w:t>/context.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w:t>
      </w:r>
      <w:r>
        <w:rPr>
          <w:b/>
        </w:rPr>
        <w:t>evidence</w:t>
      </w:r>
      <w:r>
        <w:rPr>
          <w:b w:val="0"/>
        </w:rPr>
        <w:t xml:space="preserve"> without unnecessary private content so a later revision can be compared honestly.</w:t>
      </w:r>
    </w:p>
    <w:p>
      <w:pPr>
        <w:pStyle w:val="Heading2"/>
      </w:pPr>
      <w:r>
        <w:t>Separate note-reader policy and analytics scope</w:t>
      </w:r>
    </w:p>
    <w:p>
      <w:pPr>
        <w:spacing w:line="336" w:lineRule="auto" w:after="180"/>
      </w:pPr>
      <w:r>
        <w:rPr>
          <w:b w:val="0"/>
        </w:rPr>
        <w:t>Review a private note’s path. A revision service reads a learner’s private practice note; analytics need counts only.</w:t>
      </w:r>
    </w:p>
    <w:p>
      <w:pPr>
        <w:spacing w:line="336" w:lineRule="auto" w:after="180"/>
      </w:pPr>
      <w:r>
        <w:rPr>
          <w:b w:val="0"/>
        </w:rPr>
        <w:t>Only the learner and assigned teacher may read note text. The dashboard is authorised for aggregate counts, not notes.</w:t>
      </w:r>
    </w:p>
    <w:p>
      <w:pPr>
        <w:spacing w:line="336" w:lineRule="auto" w:after="180"/>
      </w:pPr>
      <w:r>
        <w:rPr>
          <w:b w:val="0"/>
        </w:rPr>
        <w:t>The picture is a separate private-note path. Its policy permits note text only for the learner and assigned teacher; a broad teacher role alone is insufficient. Analytics is authorized for aggregate revision counts, not text. The added code accepts two fictional revision-kind events and emits revision_count = 2 without note text or learner IDs. A changed event containing the full note is rejected.</w:t>
      </w:r>
    </w:p>
    <w:p>
      <w:pPr>
        <w:spacing w:line="336" w:lineRule="auto" w:after="180"/>
      </w:pPr>
      <w:r>
        <w:rPr>
          <w:b w:val="0"/>
        </w:rPr>
        <w:t>This is data minimization under the stated policy, not proof of anonymity: a tiny-group count may still reveal information. The dashboard’s readers, group sizes, linkability and retention remain separate review questions.</w:t>
      </w:r>
    </w:p>
    <w:p>
      <w:pPr>
        <w:pStyle w:val="Heading2"/>
      </w:pPr>
      <w:r>
        <w:t>Trace authorized content and counts-only analytics</w:t>
      </w:r>
    </w:p>
    <w:p>
      <w:r>
        <w:drawing>
          <wp:inline xmlns:a="http://schemas.openxmlformats.org/drawingml/2006/main" xmlns:pic="http://schemas.openxmlformats.org/drawingml/2006/picture">
            <wp:extent cx="5486400" cy="3182112"/>
            <wp:docPr id="1" name="Picture 1" descr="Map content path: The authorised revision service receives the note. → Check readers: The stated learner and teacher can retrieve its text. → Minimise analytics: Send revision counts without copying private notes."/>
            <wp:cNvGraphicFramePr>
              <a:graphicFrameLocks noChangeAspect="1"/>
            </wp:cNvGraphicFramePr>
            <a:graphic>
              <a:graphicData uri="http://schemas.openxmlformats.org/drawingml/2006/picture">
                <pic:pic>
                  <pic:nvPicPr>
                    <pic:cNvPr id="0" name="academy-story-ai-6-30-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Map content path</w:t>
            </w:r>
          </w:p>
        </w:tc>
        <w:tc>
          <w:tcPr>
            <w:tcW w:type="dxa" w:w="5112"/>
          </w:tcPr>
          <w:p>
            <w:r>
              <w:t>The authorised revision service receives the note.</w:t>
            </w:r>
          </w:p>
        </w:tc>
      </w:tr>
      <w:tr>
        <w:tc>
          <w:tcPr>
            <w:tcW w:type="dxa" w:w="5112"/>
          </w:tcPr>
          <w:p>
            <w:r>
              <w:t>2. Check readers</w:t>
            </w:r>
          </w:p>
        </w:tc>
        <w:tc>
          <w:tcPr>
            <w:tcW w:type="dxa" w:w="5112"/>
          </w:tcPr>
          <w:p>
            <w:r>
              <w:t>The stated learner and teacher can retrieve its text.</w:t>
            </w:r>
          </w:p>
        </w:tc>
      </w:tr>
      <w:tr>
        <w:tc>
          <w:tcPr>
            <w:tcW w:type="dxa" w:w="5112"/>
          </w:tcPr>
          <w:p>
            <w:r>
              <w:t>3. Minimise analytics</w:t>
            </w:r>
          </w:p>
        </w:tc>
        <w:tc>
          <w:tcPr>
            <w:tcW w:type="dxa" w:w="5112"/>
          </w:tcPr>
          <w:p>
            <w:r>
              <w:t>Send revision counts without copying private notes.</w:t>
            </w:r>
          </w:p>
        </w:tc>
      </w:tr>
    </w:tbl>
    <w:p>
      <w:r>
        <w:t>Match each pictured step to the supplied facts. This is a worked teaching case, not an independent assessment.</w:t>
      </w:r>
    </w:p>
    <w:p>
      <w:pPr>
        <w:spacing w:line="336" w:lineRule="auto" w:after="180"/>
      </w:pPr>
      <w:r>
        <w:rPr>
          <w:b w:val="0"/>
        </w:rPr>
        <w:t xml:space="preserve">A </w:t>
      </w:r>
      <w:r>
        <w:rPr>
          <w:b/>
        </w:rPr>
        <w:t>privacy review</w:t>
      </w:r>
      <w:r>
        <w:rPr>
          <w:b w:val="0"/>
        </w:rPr>
        <w:t xml:space="preserve"> follows data and authority through components. A useful dashboard does not automatically need every underlying private detail.</w:t>
      </w:r>
    </w:p>
    <w:p>
      <w:pPr>
        <w:pStyle w:val="Heading2"/>
      </w:pPr>
      <w:r>
        <w:t>Predict full-note dashboard storage</w:t>
      </w:r>
    </w:p>
    <w:p>
      <w:pPr>
        <w:pStyle w:val="ListBullet"/>
      </w:pPr>
      <w:r>
        <w:t>Change one thing: The dashboard starts storing full notes.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Send revision counts without copying private notes. Changed condition: The dashboard starts storing full notes. Expected result: Flag the unapproved content path and remove it from the design. Reason: Its count-only purpose does not grant note-reading permission."/>
            <wp:cNvGraphicFramePr>
              <a:graphicFrameLocks noChangeAspect="1"/>
            </wp:cNvGraphicFramePr>
            <a:graphic>
              <a:graphicData uri="http://schemas.openxmlformats.org/drawingml/2006/picture">
                <pic:pic>
                  <pic:nvPicPr>
                    <pic:cNvPr id="0" name="academy-story-ai-6-30-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tiny-group and linkability limits</w:t>
      </w:r>
    </w:p>
    <w:p>
      <w:pPr>
        <w:pStyle w:val="ListBullet"/>
      </w:pPr>
      <w:r>
        <w:t>Tiny-group aggregates can still reveal individuals; evaluate linkability, access and retention.</w:t>
      </w:r>
    </w:p>
    <w:p>
      <w:pPr>
        <w:pStyle w:val="ListBullet"/>
      </w:pPr>
      <w:r>
        <w:t>Read the labelled picture: Trace private note content and analytics counts to their permitted readers. Why is storing full notes in the dashboard outside this design, and what risk can remain for tiny-group counts?</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Security and privacy review</w:t>
      </w:r>
    </w:p>
    <w:p>
      <w:pPr>
        <w:pStyle w:val="Heading3"/>
      </w:pPr>
      <w:r>
        <w:t>The facts we will use</w:t>
      </w:r>
    </w:p>
    <w:p>
      <w:r>
        <w:drawing>
          <wp:inline xmlns:a="http://schemas.openxmlformats.org/drawingml/2006/main" xmlns:pic="http://schemas.openxmlformats.org/drawingml/2006/picture">
            <wp:extent cx="5486400" cy="5145314"/>
            <wp:docPr id="3" name="Picture 3" descr="Security and privacy review. Map content path: The authorised revision service receives the note.. Check readers: The stated learner and teacher can retrieve its text.. Minimise analytics: Send revision counts without copying private notes."/>
            <wp:cNvGraphicFramePr>
              <a:graphicFrameLocks noChangeAspect="1"/>
            </wp:cNvGraphicFramePr>
            <a:graphic>
              <a:graphicData uri="http://schemas.openxmlformats.org/drawingml/2006/picture">
                <pic:pic>
                  <pic:nvPicPr>
                    <pic:cNvPr id="0" name="academy-visual-ai-6-30.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copies, contexts, relationships and secondary uses</w:t>
      </w:r>
    </w:p>
    <w:p>
      <w:r>
        <w:t>Keep each access claim tied to its tested path and trusted policy.</w:t>
      </w:r>
    </w:p>
    <w:p>
      <w:pPr>
        <w:pStyle w:val="Heading2"/>
      </w:pPr>
      <w:r>
        <w:t>Core security/privacy qualification and failure analysis</w:t>
      </w:r>
    </w:p>
    <w:p>
      <w:pPr>
        <w:spacing w:line="336" w:lineRule="auto" w:after="180"/>
      </w:pPr>
      <w:r>
        <w:rPr>
          <w:b w:val="0"/>
        </w:rPr>
        <w:t>Review findings are bounded by tested paths and threat assumptions, not a proof of complete security.</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misuse and minimization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Review probe</w:t>
            </w:r>
          </w:p>
        </w:tc>
        <w:tc>
          <w:tcPr>
            <w:tcW w:type="dxa" w:w="5112"/>
          </w:tcPr>
          <w:p>
            <w:r>
              <w:t>Expected interpretation</w:t>
            </w:r>
          </w:p>
        </w:tc>
      </w:tr>
      <w:tr>
        <w:tc>
          <w:tcPr>
            <w:tcW w:type="dxa" w:w="5112"/>
          </w:tcPr>
          <w:p>
            <w:r>
              <w:t>Direct request denied but cache returns guide</w:t>
            </w:r>
          </w:p>
        </w:tc>
        <w:tc>
          <w:tcPr>
            <w:tcW w:type="dxa" w:w="5112"/>
          </w:tcPr>
          <w:p>
            <w:r>
              <w:t>Boundary still broken; inspect both routes</w:t>
            </w:r>
          </w:p>
        </w:tc>
      </w:tr>
      <w:tr>
        <w:tc>
          <w:tcPr>
            <w:tcW w:type="dxa" w:w="5112"/>
          </w:tcPr>
          <w:p>
            <w:r>
              <w:t>Unauthorized content read then hidden in output</w:t>
            </w:r>
          </w:p>
        </w:tc>
        <w:tc>
          <w:tcPr>
            <w:tcW w:type="dxa" w:w="5112"/>
          </w:tcPr>
          <w:p>
            <w:r>
              <w:t>Already crossed context/read boundary; final redaction alone is insufficient</w:t>
            </w:r>
          </w:p>
        </w:tc>
      </w:tr>
      <w:tr>
        <w:tc>
          <w:tcPr>
            <w:tcW w:type="dxa" w:w="5112"/>
          </w:tcPr>
          <w:p>
            <w:r>
              <w:t>Request supplies role=teacher</w:t>
            </w:r>
          </w:p>
        </w:tc>
        <w:tc>
          <w:tcPr>
            <w:tcW w:type="dxa" w:w="5112"/>
          </w:tcPr>
          <w:p>
            <w:r>
              <w:t>Reject unexpected authority claim; use trusted actor fixture</w:t>
            </w:r>
          </w:p>
        </w:tc>
      </w:tr>
      <w:tr>
        <w:tc>
          <w:tcPr>
            <w:tcW w:type="dxa" w:w="5112"/>
          </w:tcPr>
          <w:p>
            <w:r>
              <w:t>Teacher not assigned to private note</w:t>
            </w:r>
          </w:p>
        </w:tc>
        <w:tc>
          <w:tcPr>
            <w:tcW w:type="dxa" w:w="5112"/>
          </w:tcPr>
          <w:p>
            <w:r>
              <w:t>Deny relationship-scoped access</w:t>
            </w:r>
          </w:p>
        </w:tc>
      </w:tr>
      <w:tr>
        <w:tc>
          <w:tcPr>
            <w:tcW w:type="dxa" w:w="5112"/>
          </w:tcPr>
          <w:p>
            <w:r>
              <w:t>Analytics event includes note text</w:t>
            </w:r>
          </w:p>
        </w:tc>
        <w:tc>
          <w:tcPr>
            <w:tcW w:type="dxa" w:w="5112"/>
          </w:tcPr>
          <w:p>
            <w:r>
              <w:t>Reject under counts-only policy</w:t>
            </w:r>
          </w:p>
        </w:tc>
      </w:tr>
      <w:tr>
        <w:tc>
          <w:tcPr>
            <w:tcW w:type="dxa" w:w="5112"/>
          </w:tcPr>
          <w:p>
            <w:r>
              <w:t>Counts omit names</w:t>
            </w:r>
          </w:p>
        </w:tc>
        <w:tc>
          <w:tcPr>
            <w:tcW w:type="dxa" w:w="5112"/>
          </w:tcPr>
          <w:p>
            <w:r>
              <w:t>Not necessarily anonymous; tiny groups/linkability still matter</w:t>
            </w:r>
          </w:p>
        </w:tc>
      </w:tr>
      <w:tr>
        <w:tc>
          <w:tcPr>
            <w:tcW w:type="dxa" w:w="5112"/>
          </w:tcPr>
          <w:p>
            <w:r>
              <w:t>Source text contains an instruction</w:t>
            </w:r>
          </w:p>
        </w:tc>
        <w:tc>
          <w:tcPr>
            <w:tcW w:type="dxa" w:w="5112"/>
          </w:tcPr>
          <w:p>
            <w:r>
              <w:t>Evidence content does not grant extra authority; never execute it as policy</w:t>
            </w:r>
          </w:p>
        </w:tc>
      </w:tr>
      <w:tr>
        <w:tc>
          <w:tcPr>
            <w:tcW w:type="dxa" w:w="5112"/>
          </w:tcPr>
          <w:p>
            <w:r>
              <w:t>Only happy-path request tested</w:t>
            </w:r>
          </w:p>
        </w:tc>
        <w:tc>
          <w:tcPr>
            <w:tcW w:type="dxa" w:w="5112"/>
          </w:tcPr>
          <w:p>
            <w:r>
              <w:t>Misuse and denied paths remain untested</w:t>
            </w:r>
          </w:p>
        </w:tc>
      </w:tr>
      <w:tr>
        <w:tc>
          <w:tcPr>
            <w:tcW w:type="dxa" w:w="5112"/>
          </w:tcPr>
          <w:p>
            <w:r>
              <w:t>Local fixtures pass</w:t>
            </w:r>
          </w:p>
        </w:tc>
        <w:tc>
          <w:tcPr>
            <w:tcW w:type="dxa" w:w="5112"/>
          </w:tcPr>
          <w:p>
            <w:r>
              <w:t>Scoped policy evidence, not complete security or real identity verification</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Review findings are bounded by tested paths and threat assumptions, not a proof of complete security.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naming the asset and the bypass route</w:t>
      </w:r>
    </w:p>
    <w:p>
      <w:r>
        <w:t>Explain which policy check must happen before a content read.</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“Security and </w:t>
      </w:r>
      <w:r>
        <w:rPr>
          <w:b/>
        </w:rPr>
        <w:t>privacy review</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Security and privacy review.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Trace private note content and analytics counts to their permitted readers. Why is storing full notes in the dashboard outside this design, and what risk can remain for tiny-group counts?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diagnostic-export bypass</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declared-path and minimization audit</w:t>
      </w:r>
    </w:p>
    <w:p>
      <w:r>
        <w:t>Inspect denial timing, content traces and accepted analytics fields.</w:t>
      </w:r>
    </w:p>
    <w:p>
      <w:pPr>
        <w:pStyle w:val="Heading2"/>
      </w:pPr>
      <w:r>
        <w:t>Current direct-denial/cache-leak investigation</w:t>
      </w:r>
    </w:p>
    <w:p>
      <w:pPr>
        <w:spacing w:line="336" w:lineRule="auto" w:after="180"/>
      </w:pPr>
      <w:r>
        <w:rPr>
          <w:b/>
        </w:rPr>
        <w:t>Output</w:t>
      </w:r>
      <w:r>
        <w:rPr>
          <w:b w:val="0"/>
        </w:rPr>
        <w:t xml:space="preserve"> denies teacher guide, but cache contains it under a student-accessible key. Show the intermediate steps and give the conclusion with its scope.</w:t>
      </w:r>
    </w:p>
    <w:p>
      <w:pPr>
        <w:pStyle w:val="Heading2"/>
      </w:pPr>
      <w:r>
        <w:t>Runnable fictional path audit</w:t>
      </w:r>
    </w:p>
    <w:p>
      <w:r>
        <w:rPr>
          <w:rFonts w:ascii="Courier New" w:hAnsi="Courier New"/>
          <w:sz w:val="18"/>
        </w:rPr>
        <w:t>"""Fictional path review; no accounts, real notes, session secrets or networks."""</w:t>
        <w:br/>
        <w:t>from copy import deepcopy</w:t>
        <w:br/>
        <w:t>GUIDE='FICTIONAL-RESTRICTED-GUIDE-MARKER'</w:t>
        <w:br/>
        <w:t>TRUSTED_ROLES={'learner-1':'student','teacher-1':'teacher'}</w:t>
        <w:br/>
        <w:t>GUIDES={'G1':GUIDE}</w:t>
        <w:br/>
        <w:t>UNSAFE_QUERY_ONLY_CACHE={'G1':GUIDE}  # deliberately broken path, constructed for inspection</w:t>
        <w:br/>
        <w:br/>
        <w:t>def get_guide(actor,request,route,trace):</w:t>
        <w:br/>
        <w:t xml:space="preserve"> if type(request) is not dict or set(request)!={'resource_id'}:return {'status':'invalid_input'}</w:t>
        <w:br/>
        <w:t xml:space="preserve"> rid=request['resource_id']</w:t>
        <w:br/>
        <w:t xml:space="preserve"> if type(rid) is not str or not rid:return {'status':'invalid_input'}</w:t>
        <w:br/>
        <w:t xml:space="preserve"> if route not in ('direct','cache'):return {'status':'invalid_route'}</w:t>
        <w:br/>
        <w:t xml:space="preserve"> if TRUSTED_ROLES.get(actor)!='teacher':return {'status':'denied'}</w:t>
        <w:br/>
        <w:t xml:space="preserve"> if rid not in GUIDES:return {'status':'review'}</w:t>
        <w:br/>
        <w:t xml:space="preserve"> trace.append({'route':route,'resource_id':rid})</w:t>
        <w:br/>
        <w:t xml:space="preserve"> # Both routes share the same trusted access gate before any content enters context.</w:t>
        <w:br/>
        <w:t xml:space="preserve"> value=GUIDES[rid] if route=='direct' else SAFE_CACHE.get((actor,rid))</w:t>
        <w:br/>
        <w:t xml:space="preserve"> if value is None:return {'status':'review'}</w:t>
        <w:br/>
        <w:t xml:space="preserve"> return {'status':'allowed_fixture','content':value}</w:t>
        <w:br/>
        <w:t>SAFE_CACHE={('teacher-1','G1'):GUIDE}</w:t>
        <w:br/>
        <w:br/>
        <w:t>student_trace=[];teacher_trace=[]</w:t>
        <w:br/>
        <w:t>student_results=[get_guide('learner-1',{'resource_id':'G1'},route,student_trace) for route in ('direct','cache')]</w:t>
        <w:br/>
        <w:t>teacher_results=[get_guide('teacher-1',{'resource_id':'G1'},route,teacher_trace) for route in ('direct','cache')]</w:t>
        <w:br/>
        <w:t>assert all(item=={'status':'denied'} for item in student_results) and student_trace==[]</w:t>
        <w:br/>
        <w:t>assert all(item['content']==GUIDE for item in teacher_results) and len(teacher_trace)==2</w:t>
        <w:br/>
        <w:t>assert GUIDE not in repr(student_results)</w:t>
        <w:br/>
        <w:t>assert get_guide('learner-1',{'resource_id':'G1','role':'teacher'},'cache',student_trace)['status']=='invalid_input'</w:t>
        <w:br/>
        <w:t>assert get_guide('unknown',{'resource_id':'G1'},'direct',student_trace)['status']=='denied'</w:t>
        <w:br/>
        <w:t># Separate picture: access includes relationship, not merely the broad teacher role.</w:t>
        <w:br/>
        <w:t>NOTES={'N1':{'owner':'learner-1','assigned_teacher':'teacher-1','text':'fictional practice note'}}</w:t>
        <w:br/>
        <w:t>def note(actor,note_id):</w:t>
        <w:br/>
        <w:t xml:space="preserve"> record=NOTES.get(note_id)</w:t>
        <w:br/>
        <w:t xml:space="preserve"> if record is None:return {'status':'review'}</w:t>
        <w:br/>
        <w:t xml:space="preserve"> if actor not in (record['owner'],record['assigned_teacher']):return {'status':'denied'}</w:t>
        <w:br/>
        <w:t xml:space="preserve"> return {'status':'allowed_fixture','text':record['text']}</w:t>
        <w:br/>
        <w:t>def analytics_packet(events):</w:t>
        <w:br/>
        <w:t xml:space="preserve"> if type(events) is not list:raise ValueError('event list required')</w:t>
        <w:br/>
        <w:t xml:space="preserve"> for event in events:</w:t>
        <w:br/>
        <w:t xml:space="preserve">  if type(event) is not dict or set(event)!={'kind'} or event['kind']!='revision':</w:t>
        <w:br/>
        <w:t xml:space="preserve">   raise ValueError('only minimized revision-kind events accepted')</w:t>
        <w:br/>
        <w:t xml:space="preserve"> return {'revision_count':len(events)}</w:t>
        <w:br/>
        <w:t>notes_before=deepcopy(NOTES)</w:t>
        <w:br/>
        <w:t>picture_count=analytics_packet([{'kind':'revision'},{'kind':'revision'}])</w:t>
        <w:br/>
        <w:t>assert picture_count=={'revision_count':2} and note('teacher-2','N1')=={'status':'denied'}</w:t>
        <w:br/>
        <w:t>assert note('learner-1','N1')['text']==note('teacher-1','N1')['text']</w:t>
        <w:br/>
        <w:t>try:analytics_packet([{'kind':'revision','text':NOTES['N1']['text']}])</w:t>
        <w:br/>
        <w:t>except ValueError:pass</w:t>
        <w:br/>
        <w:t>else:raise AssertionError('Full-note analytics event accepted')</w:t>
        <w:br/>
        <w:t>assert NOTES==notes_before</w:t>
        <w:br/>
        <w:t>print('Broken query-only cache contains the restricted marker:',GUIDE in UNSAFE_QUERY_ONLY_CACHE.values())</w:t>
        <w:br/>
        <w:t>print('Repaired direct/cache student decisions:',student_results,'content-read trace:',student_trace)</w:t>
        <w:br/>
        <w:t>print('Teacher fixture reads allowed on both routes:',[r['status'] for r in teacher_results])</w:t>
        <w:br/>
        <w:t>print('Separate picture minimized analytics:',picture_count,'source notes unchanged:',NOTES==notes_before)</w:t>
        <w:br/>
        <w:t>print('Counts can remain identifying in tiny groups. This fixture checks a declared field/access policy, not anonymity, retention enforcement, real authentication or complete security.')</w:t>
        <w:br/>
      </w:r>
    </w:p>
    <w:p>
      <w:pPr>
        <w:pStyle w:val="Heading2"/>
      </w:pPr>
      <w:r>
        <w:t>Expected outcomes and untested-path limits</w:t>
      </w:r>
    </w:p>
    <w:p>
      <w:pPr>
        <w:pStyle w:val="ListNumber"/>
      </w:pPr>
      <w:r>
        <w:t>Predict both learner results and content-read traces before running or tracing. The intentionally unsafe query-only cache illustrates the stored restricted marker. Both repaired routes deny the learner before content lookup; teacher-1 may read, unexpected role fields reject and unknown actors deny. Separate note checks allow only its learner and assigned teacher; the count builder accepts revision-kind events and rejects note text. Source notes stay unchanged. This is not a live audit and no session secrets, real learner content or credentials are used. Source-injection, retention and unlisted routes still need their own tests; the code does not claim to cover them. Mark paper traces “not run”.</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inspect a diagnostic export after direct denial</w:t>
      </w:r>
    </w:p>
    <w:p>
      <w:r>
        <w:t>A new return path needs the same confidentiality boundary.</w:t>
      </w:r>
    </w:p>
    <w:p>
      <w:pPr>
        <w:pStyle w:val="Heading2"/>
      </w:pPr>
      <w:r>
        <w:t>Complete selected independent task</w:t>
      </w:r>
    </w:p>
    <w:p>
      <w:pPr>
        <w:spacing w:line="336" w:lineRule="auto" w:after="180"/>
      </w:pPr>
      <w:r>
        <w:rPr>
          <w:b w:val="0"/>
        </w:rPr>
        <w:t>Service blocks direct teacher lookup but diagnostic export includes full teacher answers. Identify defect and a test.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Service blocks direct teacher lookup but diagnostic export includes full teacher answers. Identify defect and a test.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an asset/actor/path map with denied-case evidence</w:t>
      </w:r>
    </w:p>
    <w:p>
      <w:r>
        <w:t>Record only permitted metadata and fictional test markers.</w:t>
      </w:r>
    </w:p>
    <w:p>
      <w:pPr>
        <w:pStyle w:val="Heading2"/>
      </w:pPr>
      <w:r>
        <w:t>Project task and artifact</w:t>
      </w:r>
    </w:p>
    <w:p>
      <w:pPr>
        <w:spacing w:line="336" w:lineRule="auto" w:after="180"/>
      </w:pPr>
      <w:r>
        <w:rPr>
          <w:b w:val="0"/>
        </w:rPr>
        <w:t xml:space="preserve">Add a labelled security and </w:t>
      </w:r>
      <w:r>
        <w:rPr>
          <w:b/>
        </w:rPr>
        <w:t>privacy review</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security and </w:t>
      </w:r>
      <w:r>
        <w:rPr>
          <w:b/>
        </w:rPr>
        <w:t>privacy review</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local run or paper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Explain the tested paths and the review gaps</w:t>
      </w:r>
    </w:p>
    <w:p>
      <w:r>
        <w:t>A clean output cannot excuse restricted content entering an unauthorized context.</w:t>
      </w:r>
    </w:p>
    <w:p>
      <w:pPr>
        <w:pStyle w:val="Heading2"/>
      </w:pPr>
      <w:r>
        <w:t>Retrieve and explain</w:t>
      </w:r>
    </w:p>
    <w:p>
      <w:pPr>
        <w:pStyle w:val="ListBullet"/>
      </w:pPr>
      <w:r>
        <w:t>Close your notes. Explain this goal in your own words: Explain the mechanism and terminology of security and privacy review</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Threat model</w:t>
            </w:r>
          </w:p>
        </w:tc>
        <w:tc>
          <w:tcPr>
            <w:tcW w:type="dxa" w:w="5112"/>
          </w:tcPr>
          <w:p>
            <w:r>
              <w:t>Assets, actors and failure assumptions considered</w:t>
            </w:r>
          </w:p>
        </w:tc>
      </w:tr>
      <w:tr>
        <w:tc>
          <w:tcPr>
            <w:tcW w:type="dxa" w:w="5112"/>
          </w:tcPr>
          <w:p>
            <w:r>
              <w:t>Attack surface</w:t>
            </w:r>
          </w:p>
        </w:tc>
        <w:tc>
          <w:tcPr>
            <w:tcW w:type="dxa" w:w="5112"/>
          </w:tcPr>
          <w:p>
            <w:r>
              <w:t>The inputs and routes through which behaviour can be influenced</w:t>
            </w:r>
          </w:p>
        </w:tc>
      </w:tr>
      <w:tr>
        <w:tc>
          <w:tcPr>
            <w:tcW w:type="dxa" w:w="5112"/>
          </w:tcPr>
          <w:p>
            <w:r>
              <w:t>Privacy review</w:t>
            </w:r>
          </w:p>
        </w:tc>
        <w:tc>
          <w:tcPr>
            <w:tcW w:type="dxa" w:w="5112"/>
          </w:tcPr>
          <w:p>
            <w:r>
              <w:t>A check of purpose, access and data handling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Review findings are bounded by tested paths and threat assumptions, not a proof of complete security.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Security and privacy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Output denies teacher guide, but cache contains it under a student-accessible key.</w:t>
            </w:r>
          </w:p>
        </w:tc>
        <w:tc>
          <w:tcPr>
            <w:tcW w:type="dxa" w:w="3408"/>
          </w:tcPr>
          <w:p>
            <w:r>
              <w:t>For the classroom service identify restricted guides, session secrets and student content. Test denied roles, unexpected fields, source injection and minimised logging without real credentials.</w:t>
            </w:r>
          </w:p>
        </w:tc>
        <w:tc>
          <w:tcPr>
            <w:tcW w:type="dxa" w:w="3408"/>
          </w:tcPr>
          <w:p>
            <w:r>
              <w:t>Access remains broken through the cache path. Review every storage/return path and assert restricted data never reaches student output/context.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Review a private note’s path. A revision service reads a learner’s private practice note; analytics need counts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security and privacy review</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Review a private note’s path. A revision service reads a learner’s private practice note; analytics need counts only.</w:t>
      </w:r>
    </w:p>
    <w:p>
      <w:pPr>
        <w:pStyle w:val="Heading3"/>
      </w:pPr>
      <w:r>
        <w:t>Practice 1: explain the deciding evidence</w:t>
      </w:r>
    </w:p>
    <w:p>
      <w:pPr>
        <w:pStyle w:val="ListBullet"/>
      </w:pPr>
      <w:r>
        <w:t>Which labelled step matches this detail? Send revision counts without copying private notes.</w:t>
      </w:r>
    </w:p>
    <w:p>
      <w:pPr>
        <w:pStyle w:val="ListBullet"/>
      </w:pPr>
      <w:r>
        <w:t>1. Map content path</w:t>
      </w:r>
    </w:p>
    <w:p>
      <w:pPr>
        <w:pStyle w:val="ListBullet"/>
      </w:pPr>
      <w:r>
        <w:t>2. Check readers</w:t>
      </w:r>
    </w:p>
    <w:p>
      <w:pPr>
        <w:pStyle w:val="ListBullet"/>
      </w:pPr>
      <w:r>
        <w:t>3. Minimise analytics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Minimise analytics Send revision counts without copying private notes. A </w:t>
      </w:r>
      <w:r>
        <w:rPr>
          <w:b/>
        </w:rPr>
        <w:t>privacy review</w:t>
      </w:r>
      <w:r>
        <w:rPr>
          <w:b w:val="0"/>
        </w:rPr>
        <w:t xml:space="preserve"> follows data and authority through components.</w:t>
      </w:r>
    </w:p>
    <w:p>
      <w:pPr>
        <w:spacing w:line="336" w:lineRule="auto" w:after="180"/>
      </w:pPr>
      <w:r>
        <w:rPr>
          <w:b w:val="0"/>
        </w:rPr>
        <w:t>A useful dashboard does not automatically need every underlying private detail.</w:t>
      </w:r>
    </w:p>
    <w:p>
      <w:pPr>
        <w:pStyle w:val="Heading2"/>
      </w:pPr>
      <w:r>
        <w:t>Changed-case question and optional hint</w:t>
      </w:r>
    </w:p>
    <w:p>
      <w:pPr>
        <w:pStyle w:val="Heading3"/>
      </w:pPr>
      <w:r>
        <w:t>Practice 2: explain the deciding evidence</w:t>
      </w:r>
    </w:p>
    <w:p>
      <w:pPr>
        <w:pStyle w:val="ListBullet"/>
      </w:pPr>
      <w:r>
        <w:t>Changed-case practice: The dashboard starts storing full notes. Which conclusion is supported by the supplied facts?</w:t>
      </w:r>
    </w:p>
    <w:p>
      <w:pPr>
        <w:pStyle w:val="ListBullet"/>
      </w:pPr>
      <w:r>
        <w:t>1. This one example guarantees correct results for every future input.</w:t>
      </w:r>
    </w:p>
    <w:p>
      <w:pPr>
        <w:pStyle w:val="ListBullet"/>
      </w:pPr>
      <w:r>
        <w:t>2. Flag the unapproved content path and remove it from the design.</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Flag the unapproved content path and remove it from the design. Its count-only purpose does not grant note-reading permission.</w:t>
      </w:r>
    </w:p>
    <w:p>
      <w:pPr>
        <w:pStyle w:val="Heading2"/>
      </w:pPr>
      <w:r>
        <w:t>Repair and retain the record</w:t>
      </w:r>
    </w:p>
    <w:p>
      <w:pPr>
        <w:spacing w:line="336" w:lineRule="auto" w:after="180"/>
      </w:pPr>
      <w:r>
        <w:rPr>
          <w:b w:val="0"/>
        </w:rPr>
        <w:t xml:space="preserve">Review Performance and cost experiments (ai-6/29). Goal: Explain the </w:t>
      </w:r>
      <w:r>
        <w:rPr>
          <w:b/>
        </w:rPr>
        <w:t>mechanism</w:t>
      </w:r>
      <w:r>
        <w:rPr>
          <w:b w:val="0"/>
        </w:rPr>
        <w:t xml:space="preserve"> and terminology of performance and cost experiments. Short practice: Calculate per-case seconds and cost units for A and B.</w:t>
      </w:r>
    </w:p>
    <w:p>
      <w:pPr>
        <w:spacing w:line="336" w:lineRule="auto" w:after="180"/>
      </w:pPr>
      <w:r>
        <w:rPr>
          <w:b w:val="0"/>
        </w:rPr>
        <w:t>Which meets a budget of at most 2 cost units per case, and what speed trade-off does that choice make?. Return to this week and explain what you changed.</w:t>
      </w:r>
    </w:p>
    <w:p>
      <w:pPr>
        <w:spacing w:line="336" w:lineRule="auto" w:after="180"/>
      </w:pPr>
      <w:r>
        <w:rPr>
          <w:b w:val="0"/>
        </w:rPr>
        <w:t xml:space="preserve">Review Human escalation workflows (ai-6/27). Goal: Explain the </w:t>
      </w:r>
      <w:r>
        <w:rPr>
          <w:b/>
        </w:rPr>
        <w:t>mechanism</w:t>
      </w:r>
      <w:r>
        <w:rPr>
          <w:b w:val="0"/>
        </w:rPr>
        <w:t xml:space="preserve"> and terminology of human escalation workflows. Short practice: Identify the exact service boundary in the bottle question.</w:t>
      </w:r>
    </w:p>
    <w:p>
      <w:pPr>
        <w:spacing w:line="336" w:lineRule="auto" w:after="180"/>
      </w:pPr>
      <w:r>
        <w:rPr>
          <w:b w:val="0"/>
        </w:rPr>
        <w:t>What accurate information belongs in the supervisor handoff, and what remains unresolved if nobody is reachable?. Return to this week and explain what you changed.</w:t>
      </w:r>
    </w:p>
    <w:p>
      <w:pPr>
        <w:spacing w:line="336" w:lineRule="auto" w:after="180"/>
      </w:pPr>
      <w:r>
        <w:rPr>
          <w:b w:val="0"/>
        </w:rPr>
        <w:t xml:space="preserve">Review Release and rollback (ai-6/24). Goal: Explain the </w:t>
      </w:r>
      <w:r>
        <w:rPr>
          <w:b/>
        </w:rPr>
        <w:t>mechanism</w:t>
      </w:r>
      <w:r>
        <w:rPr>
          <w:b w:val="0"/>
        </w:rPr>
        <w:t xml:space="preserve"> and terminology of release and rollback. Short practice: Compute A’s and B’s correctness percentages.</w:t>
      </w:r>
    </w:p>
    <w:p>
      <w:pPr>
        <w:spacing w:line="336" w:lineRule="auto" w:after="180"/>
      </w:pPr>
      <w:r>
        <w:rPr>
          <w:b w:val="0"/>
        </w:rPr>
        <w:t>Why is B still blocked, and does passing a fresh privacy check automatically satisfy every release gate?.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Security and privacy review: the case</w:t>
      </w:r>
    </w:p>
    <w:p>
      <w:r>
        <w:drawing>
          <wp:inline xmlns:a="http://schemas.openxmlformats.org/drawingml/2006/main" xmlns:pic="http://schemas.openxmlformats.org/drawingml/2006/picture">
            <wp:extent cx="5486400" cy="2834640"/>
            <wp:docPr id="4" name="Picture 4" descr="Review a private note’s path. A revision service reads a learner’s private practice note; analytics need counts only. Supplied facts: Only the learner and assigned teacher may read note text. The dashboard is authorised for aggregate counts, not notes."/>
            <wp:cNvGraphicFramePr>
              <a:graphicFrameLocks noChangeAspect="1"/>
            </wp:cNvGraphicFramePr>
            <a:graphic>
              <a:graphicData uri="http://schemas.openxmlformats.org/drawingml/2006/picture">
                <pic:pic>
                  <pic:nvPicPr>
                    <pic:cNvPr id="0" name="academy-story-ai-6-30-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Review a private note’s path. A revision service reads a learner’s private practice note; analytics need counts only. Supplied facts: Only the learner and assigned teacher may read note text.</w:t>
      </w:r>
    </w:p>
    <w:p>
      <w:pPr>
        <w:spacing w:line="336" w:lineRule="auto" w:after="180"/>
      </w:pPr>
      <w:r>
        <w:rPr>
          <w:b w:val="0"/>
        </w:rPr>
        <w:t>The dashboard is authorised for aggregate counts, not notes.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5" name="Picture 5" descr="Map content path: The authorised revision service receives the note. → Check readers: The stated learner and teacher can retrieve its text. → Minimise analytics: Send revision counts without copying private notes."/>
            <wp:cNvGraphicFramePr>
              <a:graphicFrameLocks noChangeAspect="1"/>
            </wp:cNvGraphicFramePr>
            <a:graphic>
              <a:graphicData uri="http://schemas.openxmlformats.org/drawingml/2006/picture">
                <pic:pic>
                  <pic:nvPicPr>
                    <pic:cNvPr id="0" name="academy-story-ai-6-30-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Map content path: The authorised revision service receives the note. → Check readers: The stated learner and teacher can retrieve its text. → Minimise analytics: Send revision counts without copying private notes.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Security and privacy review — evidence trace</w:t>
      </w:r>
    </w:p>
    <w:p>
      <w:r>
        <w:drawing>
          <wp:inline xmlns:a="http://schemas.openxmlformats.org/drawingml/2006/main" xmlns:pic="http://schemas.openxmlformats.org/drawingml/2006/picture">
            <wp:extent cx="5486400" cy="2996184"/>
            <wp:docPr id="6" name="Picture 6" descr="Security and privacy review — evidence trace. Output denies teacher guide, but cache contains it under a student-accessible key. | For the classroom service identify restricted guides, session secrets and student content. Test denied roles, unexpected fields, source injection and minimised logging without real credentials. | Access remains broken through the cache path. Review every storage/return path and assert restricted data never reaches student output/context."/>
            <wp:cNvGraphicFramePr>
              <a:graphicFrameLocks noChangeAspect="1"/>
            </wp:cNvGraphicFramePr>
            <a:graphic>
              <a:graphicData uri="http://schemas.openxmlformats.org/drawingml/2006/picture">
                <pic:pic>
                  <pic:nvPicPr>
                    <pic:cNvPr id="0" name="academy-story-ai-6-30-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val="0"/>
        </w:rPr>
        <w:t xml:space="preserve">Security and </w:t>
      </w:r>
      <w:r>
        <w:rPr>
          <w:b/>
        </w:rPr>
        <w:t>privacy review</w:t>
      </w:r>
      <w:r>
        <w:rPr>
          <w:b w:val="0"/>
        </w:rPr>
        <w:t xml:space="preserve"> — </w:t>
      </w:r>
      <w:r>
        <w:rPr>
          <w:b/>
        </w:rPr>
        <w:t>evidence</w:t>
      </w:r>
      <w:r>
        <w:rPr>
          <w:b w:val="0"/>
        </w:rPr>
        <w:t xml:space="preserve"> trace. </w:t>
      </w:r>
      <w:r>
        <w:rPr>
          <w:b/>
        </w:rPr>
        <w:t>Output</w:t>
      </w:r>
      <w:r>
        <w:rPr>
          <w:b w:val="0"/>
        </w:rPr>
        <w:t xml:space="preserve"> denies teacher guide, but cache contains it under a student-accessible key. | For the classroom service identify restricted guides, session secrets and student content.</w:t>
      </w:r>
    </w:p>
    <w:p>
      <w:pPr>
        <w:spacing w:line="336" w:lineRule="auto" w:after="180"/>
      </w:pPr>
      <w:r>
        <w:rPr>
          <w:b w:val="0"/>
        </w:rPr>
        <w:t>Test denied roles, unexpected fields, source injection and minimised logging without real credentials. | Access remains broken through the cache path.</w:t>
      </w:r>
    </w:p>
    <w:p>
      <w:pPr>
        <w:spacing w:line="336" w:lineRule="auto" w:after="180"/>
      </w:pPr>
      <w:r>
        <w:rPr>
          <w:b w:val="0"/>
        </w:rPr>
        <w:t xml:space="preserve">Review every storage/return path and assert restricted data never reaches student </w:t>
      </w:r>
      <w:r>
        <w:rPr>
          <w:b/>
        </w:rPr>
        <w:t>output</w:t>
      </w:r>
      <w:r>
        <w:rPr>
          <w:b w:val="0"/>
        </w:rPr>
        <w:t>/context.</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Send revision counts without copying private notes. Changed condition: The dashboard starts storing full notes. Expected result: Flag the unapproved content path and remove it from the design. Reason: Its count-only purpose does not grant note-reading permission."/>
            <wp:cNvGraphicFramePr>
              <a:graphicFrameLocks noChangeAspect="1"/>
            </wp:cNvGraphicFramePr>
            <a:graphic>
              <a:graphicData uri="http://schemas.openxmlformats.org/drawingml/2006/picture">
                <pic:pic>
                  <pic:nvPicPr>
                    <pic:cNvPr id="0" name="academy-story-ai-6-30-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Send revision counts without copying private notes. Changed condition: The dashboard starts storing full notes. Expected result: Flag the unapproved content path and remove it from the design.</w:t>
      </w:r>
    </w:p>
    <w:p>
      <w:pPr>
        <w:spacing w:line="336" w:lineRule="auto" w:after="180"/>
      </w:pPr>
      <w:r>
        <w:rPr>
          <w:b w:val="0"/>
        </w:rPr>
        <w:t>Reason: Its count-only purpose does not grant note-reading permission.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privacy review follows data and authority through components. A useful dashboard does not automatically need every underlying private detail. Limit: Tiny-group aggregates can still reveal individuals; evaluate linkability, access and retention."/>
            <wp:cNvGraphicFramePr>
              <a:graphicFrameLocks noChangeAspect="1"/>
            </wp:cNvGraphicFramePr>
            <a:graphic>
              <a:graphicData uri="http://schemas.openxmlformats.org/drawingml/2006/picture">
                <pic:pic>
                  <pic:nvPicPr>
                    <pic:cNvPr id="0" name="academy-story-ai-6-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privacy review</w:t>
      </w:r>
      <w:r>
        <w:rPr>
          <w:b w:val="0"/>
        </w:rPr>
        <w:t xml:space="preserve"> follows data and authority through components. A useful dashboard does not automatically need every underlying private detail.</w:t>
      </w:r>
    </w:p>
    <w:p>
      <w:pPr>
        <w:spacing w:line="336" w:lineRule="auto" w:after="180"/>
      </w:pPr>
      <w:r>
        <w:rPr>
          <w:b w:val="0"/>
        </w:rPr>
        <w:t>Limit: Tiny-group aggregates can still reveal individuals; evaluate linkability, access and retention.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Trace private note content and analytics counts to their permitted readers. Why is storing full notes in the dashboard outside this design, and what risk can remain for tiny-group counts?"/>
            <wp:cNvGraphicFramePr>
              <a:graphicFrameLocks noChangeAspect="1"/>
            </wp:cNvGraphicFramePr>
            <a:graphic>
              <a:graphicData uri="http://schemas.openxmlformats.org/drawingml/2006/picture">
                <pic:pic>
                  <pic:nvPicPr>
                    <pic:cNvPr id="0" name="academy-story-ai-6-30-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Trace private note content and analytics counts to their permitted readers.</w:t>
      </w:r>
    </w:p>
    <w:p>
      <w:pPr>
        <w:spacing w:line="336" w:lineRule="auto" w:after="180"/>
      </w:pPr>
      <w:r>
        <w:rPr>
          <w:b w:val="0"/>
        </w:rPr>
        <w:t>Why is storing full notes in the dashboard outside this design, and what risk can remain for tiny-group counts?</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Security and privacy review: the case</w:t>
      </w:r>
    </w:p>
    <w:p>
      <w:pPr>
        <w:pStyle w:val="Heading3"/>
      </w:pPr>
      <w:r>
        <w:t>02. Follow the deciding steps</w:t>
      </w:r>
    </w:p>
    <w:p>
      <w:pPr>
        <w:pStyle w:val="Heading3"/>
      </w:pPr>
      <w:r>
        <w:t>03. Security and privacy review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