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ai-7/6</w:t>
      </w:r>
    </w:p>
    <w:p>
      <w:pPr>
        <w:pStyle w:val="Title"/>
      </w:pPr>
      <w:r>
        <w:t>A literature comparison matrix</w:t>
      </w:r>
    </w:p>
    <w:p>
      <w:r>
        <w:t>Project: Reproducible AI Research Study</w:t>
      </w:r>
    </w:p>
    <w:p>
      <w:pPr>
        <w:pStyle w:val="Heading1"/>
      </w:pPr>
      <w:r>
        <w:t>Keep the meaning beside the number. Preserve the missing fields.</w:t>
      </w:r>
    </w:p>
    <w:p>
      <w:r>
        <w:t>Build a complete fictional literature matrix and justify comparability without forcing headline-score rankings.</w:t>
      </w:r>
    </w:p>
    <w:p>
      <w:r>
        <w:t>Matrix contract → different-task filled table → indoor/outdoor picture → missing-field probes → reconstruction protocol → independent metric/corpus mismatch.</w:t>
      </w:r>
    </w:p>
    <w:p>
      <w:pPr>
        <w:pStyle w:val="Heading1"/>
      </w:pPr>
      <w:r>
        <w:t>01. Compare study meanings before comparing headline numbers</w:t>
      </w:r>
    </w:p>
    <w:p>
      <w:r>
        <w:t>Preserve task, metric, cases and missing fields in one matrix.</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a literature comparison matrix.</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source versions, methods and evidence scope</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Replication and reproduction. Give an example and a mistake that the idea helps you avoid.</w:t>
      </w:r>
    </w:p>
    <w:p>
      <w:pPr>
        <w:spacing w:line="336" w:lineRule="auto" w:after="180"/>
      </w:pPr>
      <w:r>
        <w:rPr>
          <w:b w:val="0"/>
        </w:rPr>
        <w:t>Without opening the old lesson, explain one key idea from Finding primary research.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Replication and reproduction.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a literature comparison matrix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a literature comparison matrix</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Define a matrix that retains differences and uncertainty</w:t>
      </w:r>
    </w:p>
    <w:p>
      <w:r>
        <w:t>A well-filled table explains why a direct ranking may be unavailable.</w:t>
      </w:r>
    </w:p>
    <w:p>
      <w:pPr>
        <w:pStyle w:val="Heading2"/>
      </w:pPr>
      <w:r>
        <w:t>Begin with two percentages measuring different tasks</w:t>
      </w:r>
    </w:p>
    <w:p>
      <w:pPr>
        <w:spacing w:line="336" w:lineRule="auto" w:after="180"/>
      </w:pPr>
      <w:r>
        <w:rPr>
          <w:b w:val="0"/>
        </w:rPr>
        <w:t>Imagine one study reports ninety percent classification accuracy and another eighty percent claim support for generated answers. Sorting 90 above 80 does not make the first tool better for the second task. A literature matrix keeps the meaning of each result beside it: question, data, unit, baseline, metric, split, resources and limitations. “Not reported” is useful information.</w:t>
      </w:r>
    </w:p>
    <w:p>
      <w:pPr>
        <w:spacing w:line="336" w:lineRule="auto" w:after="180"/>
      </w:pPr>
      <w:r>
        <w:rPr>
          <w:b w:val="0"/>
        </w:rPr>
        <w:t>It is more honest than inventing a denominator or filling an unknown version from another study.</w:t>
      </w:r>
    </w:p>
    <w:p>
      <w:pPr>
        <w:pStyle w:val="Heading2"/>
      </w:pPr>
      <w:r>
        <w:t>Define a literature comparison matrix</w:t>
      </w:r>
    </w:p>
    <w:p>
      <w:pPr>
        <w:spacing w:line="336" w:lineRule="auto" w:after="180"/>
      </w:pPr>
      <w:r>
        <w:rPr>
          <w:b w:val="0"/>
        </w:rPr>
        <w:t xml:space="preserve">A </w:t>
      </w:r>
      <w:r>
        <w:rPr>
          <w:b/>
        </w:rPr>
        <w:t>literature matrix</w:t>
      </w:r>
      <w:r>
        <w:rPr>
          <w:b w:val="0"/>
        </w:rPr>
        <w:t xml:space="preserve"> compares studies using aligned columns rather than sorting headline numbers with different meanings.</w:t>
      </w:r>
    </w:p>
    <w:p>
      <w:pPr>
        <w:pStyle w:val="Heading2"/>
      </w:pPr>
      <w:r>
        <w:t>Complete study-field and comparison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Matrix rule</w:t>
            </w:r>
          </w:p>
        </w:tc>
        <w:tc>
          <w:tcPr>
            <w:tcW w:type="dxa" w:w="5112"/>
          </w:tcPr>
          <w:p>
            <w:r>
              <w:t>Complete fictional comparison protocol</w:t>
            </w:r>
          </w:p>
        </w:tc>
      </w:tr>
      <w:tr>
        <w:tc>
          <w:tcPr>
            <w:tcW w:type="dxa" w:w="5112"/>
          </w:tcPr>
          <w:p>
            <w:r>
              <w:t>Study identity</w:t>
            </w:r>
          </w:p>
        </w:tc>
        <w:tc>
          <w:tcPr>
            <w:tcW w:type="dxa" w:w="5112"/>
          </w:tcPr>
          <w:p>
            <w:r>
              <w:t>Keep exact source/version/locator when known; supplied examples have no real citation</w:t>
            </w:r>
          </w:p>
        </w:tc>
      </w:tr>
      <w:tr>
        <w:tc>
          <w:tcPr>
            <w:tcW w:type="dxa" w:w="5112"/>
          </w:tcPr>
          <w:p>
            <w:r>
              <w:t>Question and task</w:t>
            </w:r>
          </w:p>
        </w:tc>
        <w:tc>
          <w:tcPr>
            <w:tcW w:type="dxa" w:w="5112"/>
          </w:tcPr>
          <w:p>
            <w:r>
              <w:t>Name what each study evaluates before comparing outcomes</w:t>
            </w:r>
          </w:p>
        </w:tc>
      </w:tr>
      <w:tr>
        <w:tc>
          <w:tcPr>
            <w:tcW w:type="dxa" w:w="5112"/>
          </w:tcPr>
          <w:p>
            <w:r>
              <w:t>Cases and unit</w:t>
            </w:r>
          </w:p>
        </w:tc>
        <w:tc>
          <w:tcPr>
            <w:tcW w:type="dxa" w:w="5112"/>
          </w:tcPr>
          <w:p>
            <w:r>
              <w:t>Record dataset/population, sample denominator and experimental unit; mark absent details not reported</w:t>
            </w:r>
          </w:p>
        </w:tc>
      </w:tr>
      <w:tr>
        <w:tc>
          <w:tcPr>
            <w:tcW w:type="dxa" w:w="5112"/>
          </w:tcPr>
          <w:p>
            <w:r>
              <w:t>Baseline and metric</w:t>
            </w:r>
          </w:p>
        </w:tc>
        <w:tc>
          <w:tcPr>
            <w:tcW w:type="dxa" w:w="5112"/>
          </w:tcPr>
          <w:p>
            <w:r>
              <w:t>Keep reference method, outcome definition, cutoff and aggregation rule</w:t>
            </w:r>
          </w:p>
        </w:tc>
      </w:tr>
      <w:tr>
        <w:tc>
          <w:tcPr>
            <w:tcW w:type="dxa" w:w="5112"/>
          </w:tcPr>
          <w:p>
            <w:r>
              <w:t>Split and resources</w:t>
            </w:r>
          </w:p>
        </w:tc>
        <w:tc>
          <w:tcPr>
            <w:tcW w:type="dxa" w:w="5112"/>
          </w:tcPr>
          <w:p>
            <w:r>
              <w:t>Record training/evaluation separation, environment and resource measurements if supplied</w:t>
            </w:r>
          </w:p>
        </w:tc>
      </w:tr>
      <w:tr>
        <w:tc>
          <w:tcPr>
            <w:tcW w:type="dxa" w:w="5112"/>
          </w:tcPr>
          <w:p>
            <w:r>
              <w:t>Limitations</w:t>
            </w:r>
          </w:p>
        </w:tc>
        <w:tc>
          <w:tcPr>
            <w:tcW w:type="dxa" w:w="5112"/>
          </w:tcPr>
          <w:p>
            <w:r>
              <w:t>State known task/condition gaps and unknown methods</w:t>
            </w:r>
          </w:p>
        </w:tc>
      </w:tr>
      <w:tr>
        <w:tc>
          <w:tcPr>
            <w:tcW w:type="dxa" w:w="5112"/>
          </w:tcPr>
          <w:p>
            <w:r>
              <w:t>Comparison judgment</w:t>
            </w:r>
          </w:p>
        </w:tc>
        <w:tc>
          <w:tcPr>
            <w:tcW w:type="dxa" w:w="5112"/>
          </w:tcPr>
          <w:p>
            <w:r>
              <w:t>Aligned for a stated purpose / different known fields / insufficiently reported; no automatic rank</w:t>
            </w:r>
          </w:p>
        </w:tc>
      </w:tr>
      <w:tr>
        <w:tc>
          <w:tcPr>
            <w:tcW w:type="dxa" w:w="5112"/>
          </w:tcPr>
          <w:p>
            <w:r>
              <w:t>No invented counts</w:t>
            </w:r>
          </w:p>
        </w:tc>
        <w:tc>
          <w:tcPr>
            <w:tcW w:type="dxa" w:w="5112"/>
          </w:tcPr>
          <w:p>
            <w:r>
              <w:t>A percentage alone does not supply its raw numerator or denominator</w:t>
            </w:r>
          </w:p>
        </w:tc>
      </w:tr>
      <w:tr>
        <w:tc>
          <w:tcPr>
            <w:tcW w:type="dxa" w:w="5112"/>
          </w:tcPr>
          <w:p>
            <w:r>
              <w:t>Scope</w:t>
            </w:r>
          </w:p>
        </w:tc>
        <w:tc>
          <w:tcPr>
            <w:tcW w:type="dxa" w:w="5112"/>
          </w:tcPr>
          <w:p>
            <w:r>
              <w:t>Fictional matrix practice, not real literature synthesis, pooled meta-analysis or tool recommendation</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main studies through a completed meaning-preserving matrix</w:t>
      </w:r>
    </w:p>
    <w:p>
      <w:r>
        <w:t>Unknown denominators stay unknown rather than becoming convenient fractions.</w:t>
      </w:r>
    </w:p>
    <w:p>
      <w:pPr>
        <w:pStyle w:val="Heading2"/>
      </w:pPr>
      <w:r>
        <w:t>Original matrix-field procedure</w:t>
      </w:r>
    </w:p>
    <w:p>
      <w:pPr>
        <w:spacing w:line="336" w:lineRule="auto" w:after="180"/>
      </w:pPr>
      <w:r>
        <w:rPr>
          <w:b w:val="0"/>
        </w:rPr>
        <w:t>Record question, data, unit, baseline, metric, split, resources and limitations. Mark incomparable fields rather than forcing a ranking.</w:t>
      </w:r>
    </w:p>
    <w:p>
      <w:pPr>
        <w:pStyle w:val="Heading2"/>
      </w:pPr>
      <w:r>
        <w:t>Complete main task/metric/unknown-field matrix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matrix field</w:t>
            </w:r>
          </w:p>
        </w:tc>
        <w:tc>
          <w:tcPr>
            <w:tcW w:type="dxa" w:w="3408"/>
          </w:tcPr>
          <w:p>
            <w:r>
              <w:t>Study A supplied record</w:t>
            </w:r>
          </w:p>
        </w:tc>
        <w:tc>
          <w:tcPr>
            <w:tcW w:type="dxa" w:w="3408"/>
          </w:tcPr>
          <w:p>
            <w:r>
              <w:t>Study B supplied record</w:t>
            </w:r>
          </w:p>
        </w:tc>
      </w:tr>
      <w:tr>
        <w:tc>
          <w:tcPr>
            <w:tcW w:type="dxa" w:w="3408"/>
          </w:tcPr>
          <w:p>
            <w:r>
              <w:t>Task</w:t>
            </w:r>
          </w:p>
        </w:tc>
        <w:tc>
          <w:tcPr>
            <w:tcW w:type="dxa" w:w="3408"/>
          </w:tcPr>
          <w:p>
            <w:r>
              <w:t>Classification, described as easy</w:t>
            </w:r>
          </w:p>
        </w:tc>
        <w:tc>
          <w:tcPr>
            <w:tcW w:type="dxa" w:w="3408"/>
          </w:tcPr>
          <w:p>
            <w:r>
              <w:t>Generated answers, described as difficult</w:t>
            </w:r>
          </w:p>
        </w:tc>
      </w:tr>
      <w:tr>
        <w:tc>
          <w:tcPr>
            <w:tcW w:type="dxa" w:w="3408"/>
          </w:tcPr>
          <w:p>
            <w:r>
              <w:t>Reported metric/result</w:t>
            </w:r>
          </w:p>
        </w:tc>
        <w:tc>
          <w:tcPr>
            <w:tcW w:type="dxa" w:w="3408"/>
          </w:tcPr>
          <w:p>
            <w:r>
              <w:t>Accuracy90%</w:t>
            </w:r>
          </w:p>
        </w:tc>
        <w:tc>
          <w:tcPr>
            <w:tcW w:type="dxa" w:w="3408"/>
          </w:tcPr>
          <w:p>
            <w:r>
              <w:t>Claim support 80%</w:t>
            </w:r>
          </w:p>
        </w:tc>
      </w:tr>
      <w:tr>
        <w:tc>
          <w:tcPr>
            <w:tcW w:type="dxa" w:w="3408"/>
          </w:tcPr>
          <w:p>
            <w:r>
              <w:t>Dataset/corpus and version</w:t>
            </w:r>
          </w:p>
        </w:tc>
        <w:tc>
          <w:tcPr>
            <w:tcW w:type="dxa" w:w="3408"/>
          </w:tcPr>
          <w:p>
            <w:r>
              <w:t>Not reported</w:t>
            </w:r>
          </w:p>
        </w:tc>
        <w:tc>
          <w:tcPr>
            <w:tcW w:type="dxa" w:w="3408"/>
          </w:tcPr>
          <w:p>
            <w:r>
              <w:t>Not reported</w:t>
            </w:r>
          </w:p>
        </w:tc>
      </w:tr>
      <w:tr>
        <w:tc>
          <w:tcPr>
            <w:tcW w:type="dxa" w:w="3408"/>
          </w:tcPr>
          <w:p>
            <w:r>
              <w:t>Evaluation unit</w:t>
            </w:r>
          </w:p>
        </w:tc>
        <w:tc>
          <w:tcPr>
            <w:tcW w:type="dxa" w:w="3408"/>
          </w:tcPr>
          <w:p>
            <w:r>
              <w:t>Classification cases implied; exact definition not reported</w:t>
            </w:r>
          </w:p>
        </w:tc>
        <w:tc>
          <w:tcPr>
            <w:tcW w:type="dxa" w:w="3408"/>
          </w:tcPr>
          <w:p>
            <w:r>
              <w:t>Claim versus whole-answer aggregation not reported</w:t>
            </w:r>
          </w:p>
        </w:tc>
      </w:tr>
      <w:tr>
        <w:tc>
          <w:tcPr>
            <w:tcW w:type="dxa" w:w="3408"/>
          </w:tcPr>
          <w:p>
            <w:r>
              <w:t>Raw count/denominator</w:t>
            </w:r>
          </w:p>
        </w:tc>
        <w:tc>
          <w:tcPr>
            <w:tcW w:type="dxa" w:w="3408"/>
          </w:tcPr>
          <w:p>
            <w:r>
              <w:t>Not reported; do not invent 9/10</w:t>
            </w:r>
          </w:p>
        </w:tc>
        <w:tc>
          <w:tcPr>
            <w:tcW w:type="dxa" w:w="3408"/>
          </w:tcPr>
          <w:p>
            <w:r>
              <w:t>Not reported; do not invent 8/10</w:t>
            </w:r>
          </w:p>
        </w:tc>
      </w:tr>
      <w:tr>
        <w:tc>
          <w:tcPr>
            <w:tcW w:type="dxa" w:w="3408"/>
          </w:tcPr>
          <w:p>
            <w:r>
              <w:t>Baseline/model version</w:t>
            </w:r>
          </w:p>
        </w:tc>
        <w:tc>
          <w:tcPr>
            <w:tcW w:type="dxa" w:w="3408"/>
          </w:tcPr>
          <w:p>
            <w:r>
              <w:t>Not reported</w:t>
            </w:r>
          </w:p>
        </w:tc>
        <w:tc>
          <w:tcPr>
            <w:tcW w:type="dxa" w:w="3408"/>
          </w:tcPr>
          <w:p>
            <w:r>
              <w:t>Not reported</w:t>
            </w:r>
          </w:p>
        </w:tc>
      </w:tr>
      <w:tr>
        <w:tc>
          <w:tcPr>
            <w:tcW w:type="dxa" w:w="3408"/>
          </w:tcPr>
          <w:p>
            <w:r>
              <w:t>Split and resource conditions</w:t>
            </w:r>
          </w:p>
        </w:tc>
        <w:tc>
          <w:tcPr>
            <w:tcW w:type="dxa" w:w="3408"/>
          </w:tcPr>
          <w:p>
            <w:r>
              <w:t>Not reported</w:t>
            </w:r>
          </w:p>
        </w:tc>
        <w:tc>
          <w:tcPr>
            <w:tcW w:type="dxa" w:w="3408"/>
          </w:tcPr>
          <w:p>
            <w:r>
              <w:t>Not reported</w:t>
            </w:r>
          </w:p>
        </w:tc>
      </w:tr>
      <w:tr>
        <w:tc>
          <w:tcPr>
            <w:tcW w:type="dxa" w:w="3408"/>
          </w:tcPr>
          <w:p>
            <w:r>
              <w:t>Known comparison gap</w:t>
            </w:r>
          </w:p>
        </w:tc>
        <w:tc>
          <w:tcPr>
            <w:tcW w:type="dxa" w:w="3408"/>
          </w:tcPr>
          <w:p>
            <w:r>
              <w:t>Different task/outcome from B</w:t>
            </w:r>
          </w:p>
        </w:tc>
        <w:tc>
          <w:tcPr>
            <w:tcW w:type="dxa" w:w="3408"/>
          </w:tcPr>
          <w:p>
            <w:r>
              <w:t>Different task/outcome from A</w:t>
            </w:r>
          </w:p>
        </w:tc>
      </w:tr>
      <w:tr>
        <w:tc>
          <w:tcPr>
            <w:tcW w:type="dxa" w:w="3408"/>
          </w:tcPr>
          <w:p>
            <w:r>
              <w:t>Valid conclusion</w:t>
            </w:r>
          </w:p>
        </w:tc>
        <w:tc>
          <w:tcPr>
            <w:tcW w:type="dxa" w:w="3408"/>
          </w:tcPr>
          <w:p>
            <w:r>
              <w:t>A’s headline percentage is numerically higher</w:t>
            </w:r>
          </w:p>
        </w:tc>
        <w:tc>
          <w:tcPr>
            <w:tcW w:type="dxa" w:w="3408"/>
          </w:tcPr>
          <w:p>
            <w:r>
              <w:t>No direct cross-task superiority follows</w:t>
            </w:r>
          </w:p>
        </w:tc>
      </w:tr>
    </w:tbl>
    <w:p>
      <w:pPr>
        <w:pStyle w:val="Heading2"/>
      </w:pPr>
      <w:r>
        <w:t>State the comparison still needed</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 90% on easy classification; B reports claim support 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a matrix that hides indoor versus outdoor conditions</w:t>
      </w:r>
    </w:p>
    <w:p>
      <w:r>
        <w:t>Removing a column removes information, not the underlying difference.</w:t>
      </w:r>
    </w:p>
    <w:p>
      <w:pPr>
        <w:pStyle w:val="Heading2"/>
      </w:pPr>
      <w:r>
        <w:t>Current task and response</w:t>
      </w:r>
    </w:p>
    <w:p>
      <w:pPr>
        <w:pStyle w:val="ListBullet"/>
      </w:pPr>
      <w:r>
        <w:t>Study A reports accuracy 90% on easy classification; B reports claim support 80% on difficult generated answers.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missing-condition column</w:t>
      </w:r>
    </w:p>
    <w:p>
      <w:pPr>
        <w:pStyle w:val="ListBullet"/>
      </w:pPr>
      <w:r>
        <w:t>Change: Remove the indoor/outdoor column.</w:t>
      </w:r>
    </w:p>
    <w:p>
      <w:pPr>
        <w:pStyle w:val="Heading2"/>
      </w:pPr>
      <w:r>
        <w:t>Check after predicting · reference / check after trying</w:t>
      </w:r>
    </w:p>
    <w:p>
      <w:pPr>
        <w:spacing w:line="336" w:lineRule="auto" w:after="180"/>
      </w:pPr>
      <w:r>
        <w:rPr>
          <w:b/>
        </w:rPr>
        <w:t>Prediction</w:t>
      </w:r>
      <w:r>
        <w:rPr>
          <w:b w:val="0"/>
        </w:rPr>
        <w:t>: The matrix conceals an important condition difference.</w:t>
      </w:r>
    </w:p>
    <w:p>
      <w:pPr>
        <w:spacing w:line="336" w:lineRule="auto" w:after="180"/>
      </w:pPr>
      <w:r>
        <w:rPr>
          <w:b w:val="0"/>
        </w:rPr>
        <w:t>Reason: A reader might now mistake unlike studies for a controlled head-to-head comparison.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equal rates alongside different case conditions</w:t>
      </w:r>
    </w:p>
    <w:p>
      <w:r>
        <w:t>Keep denominators and missing alignment details visible.</w:t>
      </w:r>
    </w:p>
    <w:p>
      <w:pPr>
        <w:pStyle w:val="Heading2"/>
      </w:pPr>
      <w:r>
        <w:t>Main different-task comparison and checked limit</w:t>
      </w:r>
    </w:p>
    <w:p>
      <w:pPr>
        <w:spacing w:line="336" w:lineRule="auto" w:after="180"/>
      </w:pPr>
      <w:r>
        <w:rPr>
          <w:b w:val="0"/>
        </w:rPr>
        <w:t xml:space="preserve">Study A reports accuracy 90% on easy classification; B reports claim support </w:t>
      </w:r>
      <w:r>
        <w:rPr>
          <w:b/>
        </w:rPr>
        <w:t>80%</w:t>
      </w:r>
      <w:r>
        <w:rPr>
          <w:b w:val="0"/>
        </w:rPr>
        <w:t xml:space="preserve"> on difficult generated answers.</w:t>
      </w:r>
    </w:p>
    <w:p>
      <w:pPr>
        <w:spacing w:line="336" w:lineRule="auto" w:after="180"/>
      </w:pPr>
      <w:r>
        <w:rPr>
          <w:b w:val="0"/>
        </w:rPr>
        <w:t>Different tasks and metrics cannot establish A superior to B. Keep separate columns and identify a common evaluation needed.</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indoor/outdoor records and complete matrix</w:t>
      </w:r>
    </w:p>
    <w:p>
      <w:pPr>
        <w:spacing w:line="336" w:lineRule="auto" w:after="180"/>
      </w:pPr>
      <w:r>
        <w:rPr>
          <w:b w:val="0"/>
        </w:rPr>
        <w:t xml:space="preserve">A </w:t>
      </w:r>
      <w:r>
        <w:rPr>
          <w:b/>
        </w:rPr>
        <w:t>literature matrix</w:t>
      </w:r>
      <w:r>
        <w:rPr>
          <w:b w:val="0"/>
        </w:rPr>
        <w:t xml:space="preserve"> that preserves differences. Two fictional studies evaluate related tools under different conditions.</w:t>
      </w:r>
    </w:p>
    <w:p>
      <w:pPr>
        <w:spacing w:line="336" w:lineRule="auto" w:after="180"/>
      </w:pPr>
      <w:r>
        <w:rPr>
          <w:b w:val="0"/>
        </w:rPr>
        <w:t xml:space="preserve">Study S1: 8/10 correct on indoor photos. S2: 16/20 on outdoor photos. Both report </w:t>
      </w:r>
      <w:r>
        <w:rPr>
          <w:b/>
        </w:rPr>
        <w:t>80%</w:t>
      </w:r>
      <w:r>
        <w:rPr>
          <w:b w:val="0"/>
        </w:rPr>
        <w:t>.</w:t>
      </w:r>
    </w:p>
    <w:p>
      <w:pPr>
        <w:spacing w:line="336" w:lineRule="auto" w:after="180"/>
      </w:pPr>
      <w:r>
        <w:rPr>
          <w:b w:val="0"/>
        </w:rPr>
        <w:t>The picture is a separate photo-study comparison. S1 reports 8/10 correct on indoor photos; S2 reports 16/20 on outdoor photos. Both rates are 80%, but the samples, denominators and conditions differ. Neither supplied record directly evaluates both tools on the same photos. Equal percentages do not establish equivalent performance or identical uncertainty.</w:t>
      </w:r>
    </w:p>
    <w:p>
      <w:pPr>
        <w:spacing w:line="336" w:lineRule="auto" w:after="180"/>
      </w:pPr>
      <w:r>
        <w:rPr>
          <w:b w:val="0"/>
        </w:rPr>
        <w:t>Removing the indoor/outdoor column makes the matrix less informative while leaving the original difference intact. To answer a shared application question, first define an appropriate common task, eligible data, scoring, versions and conditions; a matrix by itself does not run that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picture matrix field</w:t>
            </w:r>
          </w:p>
        </w:tc>
        <w:tc>
          <w:tcPr>
            <w:tcW w:type="dxa" w:w="3408"/>
          </w:tcPr>
          <w:p>
            <w:r>
              <w:t>S1</w:t>
            </w:r>
          </w:p>
        </w:tc>
        <w:tc>
          <w:tcPr>
            <w:tcW w:type="dxa" w:w="3408"/>
          </w:tcPr>
          <w:p>
            <w:r>
              <w:t>S2</w:t>
            </w:r>
          </w:p>
        </w:tc>
      </w:tr>
      <w:tr>
        <w:tc>
          <w:tcPr>
            <w:tcW w:type="dxa" w:w="3408"/>
          </w:tcPr>
          <w:p>
            <w:r>
              <w:t>Photo condition</w:t>
            </w:r>
          </w:p>
        </w:tc>
        <w:tc>
          <w:tcPr>
            <w:tcW w:type="dxa" w:w="3408"/>
          </w:tcPr>
          <w:p>
            <w:r>
              <w:t>Indoor</w:t>
            </w:r>
          </w:p>
        </w:tc>
        <w:tc>
          <w:tcPr>
            <w:tcW w:type="dxa" w:w="3408"/>
          </w:tcPr>
          <w:p>
            <w:r>
              <w:t>Outdoor</w:t>
            </w:r>
          </w:p>
        </w:tc>
      </w:tr>
      <w:tr>
        <w:tc>
          <w:tcPr>
            <w:tcW w:type="dxa" w:w="3408"/>
          </w:tcPr>
          <w:p>
            <w:r>
              <w:t>Correct / evaluated</w:t>
            </w:r>
          </w:p>
        </w:tc>
        <w:tc>
          <w:tcPr>
            <w:tcW w:type="dxa" w:w="3408"/>
          </w:tcPr>
          <w:p>
            <w:r>
              <w:t>8/10</w:t>
            </w:r>
          </w:p>
        </w:tc>
        <w:tc>
          <w:tcPr>
            <w:tcW w:type="dxa" w:w="3408"/>
          </w:tcPr>
          <w:p>
            <w:r>
              <w:t>16/20</w:t>
            </w:r>
          </w:p>
        </w:tc>
      </w:tr>
      <w:tr>
        <w:tc>
          <w:tcPr>
            <w:tcW w:type="dxa" w:w="3408"/>
          </w:tcPr>
          <w:p>
            <w:r>
              <w:t>Observed correctness rate</w:t>
            </w:r>
          </w:p>
        </w:tc>
        <w:tc>
          <w:tcPr>
            <w:tcW w:type="dxa" w:w="3408"/>
          </w:tcPr>
          <w:p>
            <w:r>
              <w:t>80%</w:t>
            </w:r>
          </w:p>
        </w:tc>
        <w:tc>
          <w:tcPr>
            <w:tcW w:type="dxa" w:w="3408"/>
          </w:tcPr>
          <w:p>
            <w:r>
              <w:t>80%</w:t>
            </w:r>
          </w:p>
        </w:tc>
      </w:tr>
      <w:tr>
        <w:tc>
          <w:tcPr>
            <w:tcW w:type="dxa" w:w="3408"/>
          </w:tcPr>
          <w:p>
            <w:r>
              <w:t>Exact photo IDs/population</w:t>
            </w:r>
          </w:p>
        </w:tc>
        <w:tc>
          <w:tcPr>
            <w:tcW w:type="dxa" w:w="3408"/>
          </w:tcPr>
          <w:p>
            <w:r>
              <w:t>Not reported</w:t>
            </w:r>
          </w:p>
        </w:tc>
        <w:tc>
          <w:tcPr>
            <w:tcW w:type="dxa" w:w="3408"/>
          </w:tcPr>
          <w:p>
            <w:r>
              <w:t>Not reported</w:t>
            </w:r>
          </w:p>
        </w:tc>
      </w:tr>
      <w:tr>
        <w:tc>
          <w:tcPr>
            <w:tcW w:type="dxa" w:w="3408"/>
          </w:tcPr>
          <w:p>
            <w:r>
              <w:t>Tool/model version and baseline</w:t>
            </w:r>
          </w:p>
        </w:tc>
        <w:tc>
          <w:tcPr>
            <w:tcW w:type="dxa" w:w="3408"/>
          </w:tcPr>
          <w:p>
            <w:r>
              <w:t>Not reported</w:t>
            </w:r>
          </w:p>
        </w:tc>
        <w:tc>
          <w:tcPr>
            <w:tcW w:type="dxa" w:w="3408"/>
          </w:tcPr>
          <w:p>
            <w:r>
              <w:t>Not reported</w:t>
            </w:r>
          </w:p>
        </w:tc>
      </w:tr>
      <w:tr>
        <w:tc>
          <w:tcPr>
            <w:tcW w:type="dxa" w:w="3408"/>
          </w:tcPr>
          <w:p>
            <w:r>
              <w:t>Scoring comparability</w:t>
            </w:r>
          </w:p>
        </w:tc>
        <w:tc>
          <w:tcPr>
            <w:tcW w:type="dxa" w:w="3408"/>
          </w:tcPr>
          <w:p>
            <w:r>
              <w:t>Correctness reported; exact label protocol not supplied</w:t>
            </w:r>
          </w:p>
        </w:tc>
        <w:tc>
          <w:tcPr>
            <w:tcW w:type="dxa" w:w="3408"/>
          </w:tcPr>
          <w:p>
            <w:r>
              <w:t>Correctness reported; exact label protocol not supplied</w:t>
            </w:r>
          </w:p>
        </w:tc>
      </w:tr>
      <w:tr>
        <w:tc>
          <w:tcPr>
            <w:tcW w:type="dxa" w:w="3408"/>
          </w:tcPr>
          <w:p>
            <w:r>
              <w:t>Split/resources</w:t>
            </w:r>
          </w:p>
        </w:tc>
        <w:tc>
          <w:tcPr>
            <w:tcW w:type="dxa" w:w="3408"/>
          </w:tcPr>
          <w:p>
            <w:r>
              <w:t>Not reported</w:t>
            </w:r>
          </w:p>
        </w:tc>
        <w:tc>
          <w:tcPr>
            <w:tcW w:type="dxa" w:w="3408"/>
          </w:tcPr>
          <w:p>
            <w:r>
              <w:t>Not reported</w:t>
            </w:r>
          </w:p>
        </w:tc>
      </w:tr>
      <w:tr>
        <w:tc>
          <w:tcPr>
            <w:tcW w:type="dxa" w:w="3408"/>
          </w:tcPr>
          <w:p>
            <w:r>
              <w:t>Direct same-photo A/B evaluation</w:t>
            </w:r>
          </w:p>
        </w:tc>
        <w:tc>
          <w:tcPr>
            <w:tcW w:type="dxa" w:w="3408"/>
          </w:tcPr>
          <w:p>
            <w:r>
              <w:t>Not supplied</w:t>
            </w:r>
          </w:p>
        </w:tc>
        <w:tc>
          <w:tcPr>
            <w:tcW w:type="dxa" w:w="3408"/>
          </w:tcPr>
          <w:p>
            <w:r>
              <w:t>Not supplied</w:t>
            </w:r>
          </w:p>
        </w:tc>
      </w:tr>
      <w:tr>
        <w:tc>
          <w:tcPr>
            <w:tcW w:type="dxa" w:w="3408"/>
          </w:tcPr>
          <w:p>
            <w:r>
              <w:t>Interpretation</w:t>
            </w:r>
          </w:p>
        </w:tc>
        <w:tc>
          <w:tcPr>
            <w:tcW w:type="dxa" w:w="3408"/>
          </w:tcPr>
          <w:p>
            <w:r>
              <w:t>Indoor supplied-set result</w:t>
            </w:r>
          </w:p>
        </w:tc>
        <w:tc>
          <w:tcPr>
            <w:tcW w:type="dxa" w:w="3408"/>
          </w:tcPr>
          <w:p>
            <w:r>
              <w:t>Outdoor supplied-set result; no direct equivalence/ranking established</w:t>
            </w:r>
          </w:p>
        </w:tc>
      </w:tr>
    </w:tbl>
    <w:p>
      <w:pPr>
        <w:pStyle w:val="Heading2"/>
      </w:pPr>
      <w:r>
        <w:t>Trace study methods, descriptive rates and missing comparison</w:t>
      </w:r>
    </w:p>
    <w:p>
      <w:r>
        <w:drawing>
          <wp:inline xmlns:a="http://schemas.openxmlformats.org/drawingml/2006/main" xmlns:pic="http://schemas.openxmlformats.org/drawingml/2006/picture">
            <wp:extent cx="5486400" cy="3182112"/>
            <wp:docPr id="1" name="Picture 1" descr="Record each method: Keep population, task, model version and scoring in separate columns. → Compare rates carefully: Both rates are 80%, with different denominators and conditions. → Name missing comparison: Neither study directly compares both tools on the same photos."/>
            <wp:cNvGraphicFramePr>
              <a:graphicFrameLocks noChangeAspect="1"/>
            </wp:cNvGraphicFramePr>
            <a:graphic>
              <a:graphicData uri="http://schemas.openxmlformats.org/drawingml/2006/picture">
                <pic:pic>
                  <pic:nvPicPr>
                    <pic:cNvPr id="0" name="academy-story-ai-7-6-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each method</w:t>
            </w:r>
          </w:p>
        </w:tc>
        <w:tc>
          <w:tcPr>
            <w:tcW w:type="dxa" w:w="5112"/>
          </w:tcPr>
          <w:p>
            <w:r>
              <w:t>Keep population, task, model version and scoring in separate columns.</w:t>
            </w:r>
          </w:p>
        </w:tc>
      </w:tr>
      <w:tr>
        <w:tc>
          <w:tcPr>
            <w:tcW w:type="dxa" w:w="5112"/>
          </w:tcPr>
          <w:p>
            <w:r>
              <w:t>2. Compare rates carefully</w:t>
            </w:r>
          </w:p>
        </w:tc>
        <w:tc>
          <w:tcPr>
            <w:tcW w:type="dxa" w:w="5112"/>
          </w:tcPr>
          <w:p>
            <w:r>
              <w:t>Both rates are 80%, with different denominators and conditions.</w:t>
            </w:r>
          </w:p>
        </w:tc>
      </w:tr>
      <w:tr>
        <w:tc>
          <w:tcPr>
            <w:tcW w:type="dxa" w:w="5112"/>
          </w:tcPr>
          <w:p>
            <w:r>
              <w:t>3. Name missing comparison</w:t>
            </w:r>
          </w:p>
        </w:tc>
        <w:tc>
          <w:tcPr>
            <w:tcW w:type="dxa" w:w="5112"/>
          </w:tcPr>
          <w:p>
            <w:r>
              <w:t>Neither study directly compares both tools on the same photos.</w:t>
            </w:r>
          </w:p>
        </w:tc>
      </w:tr>
    </w:tbl>
    <w:p>
      <w:r>
        <w:t>Match each pictured step to the supplied facts. This is a worked teaching case, not an independent assessment.</w:t>
      </w:r>
    </w:p>
    <w:p>
      <w:pPr>
        <w:spacing w:line="336" w:lineRule="auto" w:after="180"/>
      </w:pPr>
      <w:r>
        <w:rPr>
          <w:b w:val="0"/>
        </w:rPr>
        <w:t xml:space="preserve">A </w:t>
      </w:r>
      <w:r>
        <w:rPr>
          <w:b/>
        </w:rPr>
        <w:t>literature matrix</w:t>
      </w:r>
      <w:r>
        <w:rPr>
          <w:b w:val="0"/>
        </w:rPr>
        <w:t xml:space="preserve"> helps compare </w:t>
      </w:r>
      <w:r>
        <w:rPr>
          <w:b/>
        </w:rPr>
        <w:t>evidence</w:t>
      </w:r>
      <w:r>
        <w:rPr>
          <w:b w:val="0"/>
        </w:rPr>
        <w:t xml:space="preserve"> without flattening differences. Equal percentages do not mean equivalent tasks, samples or methods.</w:t>
      </w:r>
    </w:p>
    <w:p>
      <w:pPr>
        <w:pStyle w:val="Heading2"/>
      </w:pPr>
      <w:r>
        <w:t>Predict removal of indoor/outdoor column</w:t>
      </w:r>
    </w:p>
    <w:p>
      <w:pPr>
        <w:pStyle w:val="ListBullet"/>
      </w:pPr>
      <w:r>
        <w:t>Change one thing: Remove the indoor/outdoor column.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Neither study directly compares both tools on the same photos. Changed condition: Remove the indoor/outdoor column. Expected result: The matrix conceals an important condition difference. Reason: A reader might now mistake unlike studies for a controlled head-to-head comparison."/>
            <wp:cNvGraphicFramePr>
              <a:graphicFrameLocks noChangeAspect="1"/>
            </wp:cNvGraphicFramePr>
            <a:graphic>
              <a:graphicData uri="http://schemas.openxmlformats.org/drawingml/2006/picture">
                <pic:pic>
                  <pic:nvPicPr>
                    <pic:cNvPr id="0" name="academy-story-ai-7-6-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fictional-study scope and preserved conditions</w:t>
      </w:r>
    </w:p>
    <w:p>
      <w:pPr>
        <w:pStyle w:val="ListBullet"/>
      </w:pPr>
      <w:r>
        <w:t>These fictional studies illustrate comparison practice; no real literature finding is asserted.</w:t>
      </w:r>
    </w:p>
    <w:p>
      <w:pPr>
        <w:pStyle w:val="ListBullet"/>
      </w:pPr>
      <w:r>
        <w:t>Read the labelled picture: Explain why 8/10 indoors and 16/20 outdoors share a rate but not a controlled comparison. Which condition column must the literature matrix preserve?</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literature comparison matrix</w:t>
      </w:r>
    </w:p>
    <w:p>
      <w:pPr>
        <w:pStyle w:val="Heading3"/>
      </w:pPr>
      <w:r>
        <w:t>The facts we will use</w:t>
      </w:r>
    </w:p>
    <w:p>
      <w:r>
        <w:drawing>
          <wp:inline xmlns:a="http://schemas.openxmlformats.org/drawingml/2006/main" xmlns:pic="http://schemas.openxmlformats.org/drawingml/2006/picture">
            <wp:extent cx="5486400" cy="3077029"/>
            <wp:docPr id="3" name="Picture 3" descr="Same rate, different study conditions"/>
            <wp:cNvGraphicFramePr>
              <a:graphicFrameLocks noChangeAspect="1"/>
            </wp:cNvGraphicFramePr>
            <a:graphic>
              <a:graphicData uri="http://schemas.openxmlformats.org/drawingml/2006/picture">
                <pic:pic>
                  <pic:nvPicPr>
                    <pic:cNvPr id="0" name="academy-detail-ai-7-6.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4" name="Picture 4" descr="A literature comparison matrix. Record each method: Keep population, task, model version and scoring in separate columns.. Compare rates carefully: Both rates are 80%, with different denominators and conditions.. Name missing comparison: Neither study directly compares both tools on the same photos."/>
            <wp:cNvGraphicFramePr>
              <a:graphicFrameLocks noChangeAspect="1"/>
            </wp:cNvGraphicFramePr>
            <a:graphic>
              <a:graphicData uri="http://schemas.openxmlformats.org/drawingml/2006/picture">
                <pic:pic>
                  <pic:nvPicPr>
                    <pic:cNvPr id="0" name="academy-visual-ai-7-6.png"/>
                    <pic:cNvPicPr/>
                  </pic:nvPicPr>
                  <pic:blipFill>
                    <a:blip r:embed="rId12"/>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hidden differences, absent fields and forced rankings</w:t>
      </w:r>
    </w:p>
    <w:p>
      <w:r>
        <w:t>A comparison table should preserve reasons for caution rather than flatten them.</w:t>
      </w:r>
    </w:p>
    <w:p>
      <w:pPr>
        <w:pStyle w:val="Heading2"/>
      </w:pPr>
      <w:r>
        <w:t>Core matrix qualification and failure analysis</w:t>
      </w:r>
    </w:p>
    <w:p>
      <w:pPr>
        <w:spacing w:line="336" w:lineRule="auto" w:after="180"/>
      </w:pPr>
      <w:r>
        <w:rPr>
          <w:b w:val="0"/>
        </w:rPr>
        <w:t xml:space="preserve">A matrix documents comparison limits; it does not create missing common </w:t>
      </w:r>
      <w:r>
        <w:rPr>
          <w:b/>
        </w:rPr>
        <w:t>evidence</w:t>
      </w:r>
      <w:r>
        <w:rPr>
          <w:b w:val="0"/>
        </w:rPr>
        <w:t>.</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comparability and missing-field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Literature-matrix probe</w:t>
            </w:r>
          </w:p>
        </w:tc>
        <w:tc>
          <w:tcPr>
            <w:tcW w:type="dxa" w:w="5112"/>
          </w:tcPr>
          <w:p>
            <w:r>
              <w:t>Expected interpretation</w:t>
            </w:r>
          </w:p>
        </w:tc>
      </w:tr>
      <w:tr>
        <w:tc>
          <w:tcPr>
            <w:tcW w:type="dxa" w:w="5112"/>
          </w:tcPr>
          <w:p>
            <w:r>
              <w:t>90% and 80% use different tasks/metrics</w:t>
            </w:r>
          </w:p>
        </w:tc>
        <w:tc>
          <w:tcPr>
            <w:tcW w:type="dxa" w:w="5112"/>
          </w:tcPr>
          <w:p>
            <w:r>
              <w:t>Do not rank tools by the scalar numbers alone</w:t>
            </w:r>
          </w:p>
        </w:tc>
      </w:tr>
      <w:tr>
        <w:tc>
          <w:tcPr>
            <w:tcW w:type="dxa" w:w="5112"/>
          </w:tcPr>
          <w:p>
            <w:r>
              <w:t>Same80% on different samples</w:t>
            </w:r>
          </w:p>
        </w:tc>
        <w:tc>
          <w:tcPr>
            <w:tcW w:type="dxa" w:w="5112"/>
          </w:tcPr>
          <w:p>
            <w:r>
              <w:t>Equal observed rates, not established equivalence</w:t>
            </w:r>
          </w:p>
        </w:tc>
      </w:tr>
      <w:tr>
        <w:tc>
          <w:tcPr>
            <w:tcW w:type="dxa" w:w="5112"/>
          </w:tcPr>
          <w:p>
            <w:r>
              <w:t>Denominator absent</w:t>
            </w:r>
          </w:p>
        </w:tc>
        <w:tc>
          <w:tcPr>
            <w:tcW w:type="dxa" w:w="5112"/>
          </w:tcPr>
          <w:p>
            <w:r>
              <w:t>Mark not reported; no reconstructed raw count</w:t>
            </w:r>
          </w:p>
        </w:tc>
      </w:tr>
      <w:tr>
        <w:tc>
          <w:tcPr>
            <w:tcW w:type="dxa" w:w="5112"/>
          </w:tcPr>
          <w:p>
            <w:r>
              <w:t>Indoor/outdoor field removed</w:t>
            </w:r>
          </w:p>
        </w:tc>
        <w:tc>
          <w:tcPr>
            <w:tcW w:type="dxa" w:w="5112"/>
          </w:tcPr>
          <w:p>
            <w:r>
              <w:t>Important known condition hidden</w:t>
            </w:r>
          </w:p>
        </w:tc>
      </w:tr>
      <w:tr>
        <w:tc>
          <w:tcPr>
            <w:tcW w:type="dxa" w:w="5112"/>
          </w:tcPr>
          <w:p>
            <w:r>
              <w:t>Both sources omit a field</w:t>
            </w:r>
          </w:p>
        </w:tc>
        <w:tc>
          <w:tcPr>
            <w:tcW w:type="dxa" w:w="5112"/>
          </w:tcPr>
          <w:p>
            <w:r>
              <w:t>Unknown agreement, not proven matching conditions</w:t>
            </w:r>
          </w:p>
        </w:tc>
      </w:tr>
      <w:tr>
        <w:tc>
          <w:tcPr>
            <w:tcW w:type="dxa" w:w="5112"/>
          </w:tcPr>
          <w:p>
            <w:r>
              <w:t>Different metric/cutoff/corpus</w:t>
            </w:r>
          </w:p>
        </w:tc>
        <w:tc>
          <w:tcPr>
            <w:tcW w:type="dxa" w:w="5112"/>
          </w:tcPr>
          <w:p>
            <w:r>
              <w:t>No direct score ranking; align the intended comparison first</w:t>
            </w:r>
          </w:p>
        </w:tc>
      </w:tr>
      <w:tr>
        <w:tc>
          <w:tcPr>
            <w:tcW w:type="dxa" w:w="5112"/>
          </w:tcPr>
          <w:p>
            <w:r>
              <w:t>One study has more cases</w:t>
            </w:r>
          </w:p>
        </w:tc>
        <w:tc>
          <w:tcPr>
            <w:tcW w:type="dxa" w:w="5112"/>
          </w:tcPr>
          <w:p>
            <w:r>
              <w:t>More reported cases alone does not solve task or quality mismatch</w:t>
            </w:r>
          </w:p>
        </w:tc>
      </w:tr>
      <w:tr>
        <w:tc>
          <w:tcPr>
            <w:tcW w:type="dxa" w:w="5112"/>
          </w:tcPr>
          <w:p>
            <w:r>
              <w:t>Average incompatible percentages</w:t>
            </w:r>
          </w:p>
        </w:tc>
        <w:tc>
          <w:tcPr>
            <w:tcW w:type="dxa" w:w="5112"/>
          </w:tcPr>
          <w:p>
            <w:r>
              <w:t>No meaningful pooled result without a justified common estimand/protocol</w:t>
            </w:r>
          </w:p>
        </w:tc>
      </w:tr>
      <w:tr>
        <w:tc>
          <w:tcPr>
            <w:tcW w:type="dxa" w:w="5112"/>
          </w:tcPr>
          <w:p>
            <w:r>
              <w:t>Matrix completed</w:t>
            </w:r>
          </w:p>
        </w:tc>
        <w:tc>
          <w:tcPr>
            <w:tcW w:type="dxa" w:w="5112"/>
          </w:tcPr>
          <w:p>
            <w:r>
              <w:t>Evidence organization, not new experiment or causal synthesis</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matrix documents comparison limits; it does not create missing common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explaining a comparison gap using named fields</w:t>
      </w:r>
    </w:p>
    <w:p>
      <w:r>
        <w:t>Propose what needs to be aligned rather than choosing the larger number.</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“A literature comparison matrix”.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A literature comparison matrix.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Explain why 8/10 indoors and 16/20 outdoors share a rate but not a controlled comparison. Which condition column must the literature matrix preserve?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recall/precision/corpus mismatch</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Complete a matrix reconstruction and comparability explanation</w:t>
      </w:r>
    </w:p>
    <w:p>
      <w:r>
        <w:t>Use the table to expose what is known, different and still missing.</w:t>
      </w:r>
    </w:p>
    <w:p>
      <w:pPr>
        <w:pStyle w:val="Heading2"/>
      </w:pPr>
      <w:r>
        <w:t>Current different-task headline investigation</w:t>
      </w:r>
    </w:p>
    <w:p>
      <w:pPr>
        <w:spacing w:line="336" w:lineRule="auto" w:after="180"/>
      </w:pPr>
      <w:r>
        <w:rPr>
          <w:b w:val="0"/>
        </w:rPr>
        <w:t xml:space="preserve">Study A reports accuracy 90% on easy classification; B reports claim support </w:t>
      </w:r>
      <w:r>
        <w:rPr>
          <w:b/>
        </w:rPr>
        <w:t>80%</w:t>
      </w:r>
      <w:r>
        <w:rPr>
          <w:b w:val="0"/>
        </w:rPr>
        <w:t xml:space="preserve"> on difficult generated answers. Show the intermediate steps and give the conclusion with its scope.</w:t>
      </w:r>
    </w:p>
    <w:p>
      <w:pPr>
        <w:pStyle w:val="Heading2"/>
      </w:pPr>
      <w:r>
        <w:t>Complete extraction and alignment protocol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matrix-building investigation</w:t>
            </w:r>
          </w:p>
        </w:tc>
        <w:tc>
          <w:tcPr>
            <w:tcW w:type="dxa" w:w="5112"/>
          </w:tcPr>
          <w:p>
            <w:r>
              <w:t>Expected evidence</w:t>
            </w:r>
          </w:p>
        </w:tc>
      </w:tr>
      <w:tr>
        <w:tc>
          <w:tcPr>
            <w:tcW w:type="dxa" w:w="5112"/>
          </w:tcPr>
          <w:p>
            <w:r>
              <w:t>Extract main task and metric</w:t>
            </w:r>
          </w:p>
        </w:tc>
        <w:tc>
          <w:tcPr>
            <w:tcW w:type="dxa" w:w="5112"/>
          </w:tcPr>
          <w:p>
            <w:r>
              <w:t>Classification accuracy 90% versus generated-answer claim support 80%</w:t>
            </w:r>
          </w:p>
        </w:tc>
      </w:tr>
      <w:tr>
        <w:tc>
          <w:tcPr>
            <w:tcW w:type="dxa" w:w="5112"/>
          </w:tcPr>
          <w:p>
            <w:r>
              <w:t>Fill every other main field</w:t>
            </w:r>
          </w:p>
        </w:tc>
        <w:tc>
          <w:tcPr>
            <w:tcW w:type="dxa" w:w="5112"/>
          </w:tcPr>
          <w:p>
            <w:r>
              <w:t>Use not reported where no denominator/version/baseline/split/resource data exists</w:t>
            </w:r>
          </w:p>
        </w:tc>
      </w:tr>
      <w:tr>
        <w:tc>
          <w:tcPr>
            <w:tcW w:type="dxa" w:w="5112"/>
          </w:tcPr>
          <w:p>
            <w:r>
              <w:t>Write a justified main comparison</w:t>
            </w:r>
          </w:p>
        </w:tc>
        <w:tc>
          <w:tcPr>
            <w:tcW w:type="dxa" w:w="5112"/>
          </w:tcPr>
          <w:p>
            <w:r>
              <w:t>Different task and metric; no direct superiority ranking</w:t>
            </w:r>
          </w:p>
        </w:tc>
      </w:tr>
      <w:tr>
        <w:tc>
          <w:tcPr>
            <w:tcW w:type="dxa" w:w="5112"/>
          </w:tcPr>
          <w:p>
            <w:r>
              <w:t>Build separate S1/S2 rows</w:t>
            </w:r>
          </w:p>
        </w:tc>
        <w:tc>
          <w:tcPr>
            <w:tcW w:type="dxa" w:w="5112"/>
          </w:tcPr>
          <w:p>
            <w:r>
              <w:t>Indoor8/10=80%, outdoor 16/20=80%; retain condition and count</w:t>
            </w:r>
          </w:p>
        </w:tc>
      </w:tr>
      <w:tr>
        <w:tc>
          <w:tcPr>
            <w:tcW w:type="dxa" w:w="5112"/>
          </w:tcPr>
          <w:p>
            <w:r>
              <w:t>Hide then restore condition field</w:t>
            </w:r>
          </w:p>
        </w:tc>
        <w:tc>
          <w:tcPr>
            <w:tcW w:type="dxa" w:w="5112"/>
          </w:tcPr>
          <w:p>
            <w:r>
              <w:t>Explain which distinction becomes invisible, without changing the source evidence</w:t>
            </w:r>
          </w:p>
        </w:tc>
      </w:tr>
      <w:tr>
        <w:tc>
          <w:tcPr>
            <w:tcW w:type="dxa" w:w="5112"/>
          </w:tcPr>
          <w:p>
            <w:r>
              <w:t>Specify a revealing next comparison</w:t>
            </w:r>
          </w:p>
        </w:tc>
        <w:tc>
          <w:tcPr>
            <w:tcW w:type="dxa" w:w="5112"/>
          </w:tcPr>
          <w:p>
            <w:r>
              <w:t>Common application task, eligible judged data, scoring/aggregation, versions and conditions</w:t>
            </w:r>
          </w:p>
        </w:tc>
      </w:tr>
      <w:tr>
        <w:tc>
          <w:tcPr>
            <w:tcW w:type="dxa" w:w="5112"/>
          </w:tcPr>
          <w:p>
            <w:r>
              <w:t>Record scope</w:t>
            </w:r>
          </w:p>
        </w:tc>
        <w:tc>
          <w:tcPr>
            <w:tcW w:type="dxa" w:w="5112"/>
          </w:tcPr>
          <w:p>
            <w:r>
              <w:t>Supplied fictional-source inspection only; no real literature search or shared evaluation performed</w:t>
            </w:r>
          </w:p>
        </w:tc>
      </w:tr>
    </w:tbl>
    <w:p>
      <w:pPr>
        <w:pStyle w:val="Heading2"/>
      </w:pPr>
      <w:r>
        <w:t>Expected matrix and evidence-status limits</w:t>
      </w:r>
    </w:p>
    <w:p>
      <w:pPr>
        <w:spacing w:line="336" w:lineRule="auto" w:after="180"/>
      </w:pPr>
      <w:r>
        <w:rPr>
          <w:b w:val="0"/>
        </w:rPr>
        <w:t>Use the complete filled matrices as worked references, then reconstruct their main fields from the supplied source statements. Distinguish a known mismatch from an unreported field. Explain why unknown/unknown is not evidence of equivalence. In the picture, compute the two 80% rates but keep their denominators and indoor/outdoor conditions.</w:t>
      </w:r>
    </w:p>
    <w:p>
      <w:pPr>
        <w:spacing w:line="336" w:lineRule="auto" w:after="180"/>
      </w:pPr>
      <w:r>
        <w:rPr>
          <w:b w:val="0"/>
        </w:rPr>
        <w:t>No raw cases, actual paper identities or tool versions are supplied, so do not invent them. The exercise produces a comparison record and proposed common evaluation, not a ranking, new experiment or real literature finding.</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recall at five versus precision at three on another corpus</w:t>
      </w:r>
    </w:p>
    <w:p>
      <w:r>
        <w:t>Keep metric, cutoff and data differences separate.</w:t>
      </w:r>
    </w:p>
    <w:p>
      <w:pPr>
        <w:pStyle w:val="Heading2"/>
      </w:pPr>
      <w:r>
        <w:t>Complete selected independent task</w:t>
      </w:r>
    </w:p>
    <w:p>
      <w:pPr>
        <w:spacing w:line="336" w:lineRule="auto" w:after="180"/>
      </w:pPr>
      <w:r>
        <w:rPr>
          <w:b w:val="0"/>
        </w:rPr>
        <w:t>A has recall@5 .8; B has precision@3 .9 on another corpus. Can you rank them?</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A has recall@5 .8; B has precision@3 .9 on another corpus. Can you rank them?</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source identity, aligned fields and unresolved comparisons</w:t>
      </w:r>
    </w:p>
    <w:p>
      <w:r>
        <w:t>Keep not-reported entries and source-specific limitations intact.</w:t>
      </w:r>
    </w:p>
    <w:p>
      <w:pPr>
        <w:pStyle w:val="Heading2"/>
      </w:pPr>
      <w:r>
        <w:t>Project task and artifact</w:t>
      </w:r>
    </w:p>
    <w:p>
      <w:pPr>
        <w:spacing w:line="336" w:lineRule="auto" w:after="180"/>
      </w:pPr>
      <w:r>
        <w:rPr>
          <w:b w:val="0"/>
        </w:rPr>
        <w:t xml:space="preserve">Add a labelled a literature comparison matrix </w:t>
      </w:r>
      <w:r>
        <w:rPr>
          <w:b/>
        </w:rPr>
        <w:t>evidence</w:t>
      </w:r>
      <w:r>
        <w:rPr>
          <w:b w:val="0"/>
        </w:rPr>
        <w:t xml:space="preserve"> sheet to Reproducible AI Research Study. Show how you can explain the </w:t>
      </w:r>
      <w:r>
        <w:rPr>
          <w:b/>
        </w:rPr>
        <w:t>mechanism</w:t>
      </w:r>
      <w:r>
        <w:rPr>
          <w:b w:val="0"/>
        </w:rPr>
        <w:t xml:space="preserve"> and terminology of a literature comparison matrix.</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supplied-record inspection and remaining gaps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Explain why the matrix supports a comparison or withholds a ranking</w:t>
      </w:r>
    </w:p>
    <w:p>
      <w:r>
        <w:t>Name the common evidence still needed.</w:t>
      </w:r>
    </w:p>
    <w:p>
      <w:pPr>
        <w:pStyle w:val="Heading2"/>
      </w:pPr>
      <w:r>
        <w:t>Retrieve and explain</w:t>
      </w:r>
    </w:p>
    <w:p>
      <w:pPr>
        <w:pStyle w:val="ListBullet"/>
      </w:pPr>
      <w:r>
        <w:t>Close your notes. Explain this goal in your own words: Explain the mechanism and terminology of a literature comparison matrix</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Literature matrix</w:t>
            </w:r>
          </w:p>
        </w:tc>
        <w:tc>
          <w:tcPr>
            <w:tcW w:type="dxa" w:w="5112"/>
          </w:tcPr>
          <w:p>
            <w:r>
              <w:t>A structured comparison of study methods and results</w:t>
            </w:r>
          </w:p>
        </w:tc>
      </w:tr>
      <w:tr>
        <w:tc>
          <w:tcPr>
            <w:tcW w:type="dxa" w:w="5112"/>
          </w:tcPr>
          <w:p>
            <w:r>
              <w:t>Comparable metric</w:t>
            </w:r>
          </w:p>
        </w:tc>
        <w:tc>
          <w:tcPr>
            <w:tcW w:type="dxa" w:w="5112"/>
          </w:tcPr>
          <w:p>
            <w:r>
              <w:t>A measure with aligned definition and scope</w:t>
            </w:r>
          </w:p>
        </w:tc>
      </w:tr>
      <w:tr>
        <w:tc>
          <w:tcPr>
            <w:tcW w:type="dxa" w:w="5112"/>
          </w:tcPr>
          <w:p>
            <w:r>
              <w:t>Evidence gap</w:t>
            </w:r>
          </w:p>
        </w:tc>
        <w:tc>
          <w:tcPr>
            <w:tcW w:type="dxa" w:w="5112"/>
          </w:tcPr>
          <w:p>
            <w:r>
              <w:t>Information needed but not supplied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matrix documents comparison limits; it does not create missing common evidence.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 90% on easy classification; B reports claim support 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A </w:t>
      </w:r>
      <w:r>
        <w:rPr>
          <w:b/>
        </w:rPr>
        <w:t>literature matrix</w:t>
      </w:r>
      <w:r>
        <w:rPr>
          <w:b w:val="0"/>
        </w:rPr>
        <w:t xml:space="preserve"> that preserves differences. Two fictional studies evaluate related tools under different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 literature comparison matrix</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A literature matrix that preserves differences. Two fictional studies evaluate related tools under different conditions.</w:t>
      </w:r>
    </w:p>
    <w:p>
      <w:pPr>
        <w:pStyle w:val="Heading3"/>
      </w:pPr>
      <w:r>
        <w:t>Practice 1: explain the deciding evidence</w:t>
      </w:r>
    </w:p>
    <w:p>
      <w:pPr>
        <w:pStyle w:val="ListBullet"/>
      </w:pPr>
      <w:r>
        <w:t>Which labelled step matches this detail? Neither study directly compares both tools on the same photos.</w:t>
      </w:r>
    </w:p>
    <w:p>
      <w:pPr>
        <w:pStyle w:val="ListBullet"/>
      </w:pPr>
      <w:r>
        <w:t>1. Name missing comparison</w:t>
      </w:r>
    </w:p>
    <w:p>
      <w:pPr>
        <w:pStyle w:val="ListBullet"/>
      </w:pPr>
      <w:r>
        <w:t>2. Record each method</w:t>
      </w:r>
    </w:p>
    <w:p>
      <w:pPr>
        <w:pStyle w:val="ListBullet"/>
      </w:pPr>
      <w:r>
        <w:t>3. Compare rates carefully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Name missing comparison Neither study directly compares both tools on the same photos. A </w:t>
      </w:r>
      <w:r>
        <w:rPr>
          <w:b/>
        </w:rPr>
        <w:t>literature matrix</w:t>
      </w:r>
      <w:r>
        <w:rPr>
          <w:b w:val="0"/>
        </w:rPr>
        <w:t xml:space="preserve"> helps compare </w:t>
      </w:r>
      <w:r>
        <w:rPr>
          <w:b/>
        </w:rPr>
        <w:t>evidence</w:t>
      </w:r>
      <w:r>
        <w:rPr>
          <w:b w:val="0"/>
        </w:rPr>
        <w:t xml:space="preserve"> without flattening differences.</w:t>
      </w:r>
    </w:p>
    <w:p>
      <w:pPr>
        <w:spacing w:line="336" w:lineRule="auto" w:after="180"/>
      </w:pPr>
      <w:r>
        <w:rPr>
          <w:b w:val="0"/>
        </w:rPr>
        <w:t>Equal percentages do not mean equivalent tasks, samples or methods.</w:t>
      </w:r>
    </w:p>
    <w:p>
      <w:pPr>
        <w:pStyle w:val="Heading2"/>
      </w:pPr>
      <w:r>
        <w:t>Changed-case question and optional hint</w:t>
      </w:r>
    </w:p>
    <w:p>
      <w:pPr>
        <w:pStyle w:val="Heading3"/>
      </w:pPr>
      <w:r>
        <w:t>Practice 2: explain the deciding evidence</w:t>
      </w:r>
    </w:p>
    <w:p>
      <w:pPr>
        <w:pStyle w:val="ListBullet"/>
      </w:pPr>
      <w:r>
        <w:t>Changed-case practice: Remove the indoor/outdoor column. Which conclusion is supported by the supplied facts?</w:t>
      </w:r>
    </w:p>
    <w:p>
      <w:pPr>
        <w:pStyle w:val="ListBullet"/>
      </w:pPr>
      <w:r>
        <w:t>1. The matrix conceals an important condition difference.</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matrix conceals an important condition difference. A reader might now mistake unlike studies for a controlled head-to-head comparison.</w:t>
      </w:r>
    </w:p>
    <w:p>
      <w:pPr>
        <w:pStyle w:val="Heading2"/>
      </w:pPr>
      <w:r>
        <w:t>Repair and retain the record</w:t>
      </w:r>
    </w:p>
    <w:p>
      <w:pPr>
        <w:spacing w:line="336" w:lineRule="auto" w:after="180"/>
      </w:pPr>
      <w:r>
        <w:rPr>
          <w:b w:val="0"/>
        </w:rPr>
        <w:t xml:space="preserve">Review Replication and reproduction (ai-7/5). Goal: Explain the </w:t>
      </w:r>
      <w:r>
        <w:rPr>
          <w:b/>
        </w:rPr>
        <w:t>mechanism</w:t>
      </w:r>
      <w:r>
        <w:rPr>
          <w:b w:val="0"/>
        </w:rPr>
        <w:t xml:space="preserve"> and terminology of replication and reproduction. Short practice: Calculate the scores from the original and new four-record sets.</w:t>
      </w:r>
    </w:p>
    <w:p>
      <w:pPr>
        <w:spacing w:line="336" w:lineRule="auto" w:after="180"/>
      </w:pPr>
      <w:r>
        <w:rPr>
          <w:b w:val="0"/>
        </w:rPr>
        <w:t>Which activity reproduces saved analysis, which repeats the protocol, and why does a different rerun of the original data need investigation?. Return to this week and explain what you changed.</w:t>
      </w:r>
    </w:p>
    <w:p>
      <w:pPr>
        <w:spacing w:line="336" w:lineRule="auto" w:after="180"/>
      </w:pPr>
      <w:r>
        <w:rPr>
          <w:b w:val="0"/>
        </w:rPr>
        <w:t xml:space="preserve">Review Finding primary research (ai-7/3). Goal: Explain the </w:t>
      </w:r>
      <w:r>
        <w:rPr>
          <w:b/>
        </w:rPr>
        <w:t>mechanism</w:t>
      </w:r>
      <w:r>
        <w:rPr>
          <w:b w:val="0"/>
        </w:rPr>
        <w:t xml:space="preserve"> and terminology of finding primary research. Short practice: Separate what the blog claims from what the original report records.</w:t>
      </w:r>
    </w:p>
    <w:p>
      <w:pPr>
        <w:spacing w:line="336" w:lineRule="auto" w:after="180"/>
      </w:pPr>
      <w:r>
        <w:rPr>
          <w:b w:val="0"/>
        </w:rPr>
        <w:t>Which methods and denominator must be inspected, and what status is honest if the original report is unavailable?.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A literature comparison matrix: the case</w:t>
      </w:r>
    </w:p>
    <w:p>
      <w:r>
        <w:drawing>
          <wp:inline xmlns:a="http://schemas.openxmlformats.org/drawingml/2006/main" xmlns:pic="http://schemas.openxmlformats.org/drawingml/2006/picture">
            <wp:extent cx="5486400" cy="2834640"/>
            <wp:docPr id="5" name="Picture 5" descr="A literature matrix that preserves differences. Two fictional studies evaluate related tools under different conditions. Supplied facts: Study S1: 8/10 correct on indoor photos. S2: 16/20 on outdoor photos. Both report 80%."/>
            <wp:cNvGraphicFramePr>
              <a:graphicFrameLocks noChangeAspect="1"/>
            </wp:cNvGraphicFramePr>
            <a:graphic>
              <a:graphicData uri="http://schemas.openxmlformats.org/drawingml/2006/picture">
                <pic:pic>
                  <pic:nvPicPr>
                    <pic:cNvPr id="0" name="academy-story-ai-7-6-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literature matrix</w:t>
      </w:r>
      <w:r>
        <w:rPr>
          <w:b w:val="0"/>
        </w:rPr>
        <w:t xml:space="preserve"> that preserves differences. Two fictional studies evaluate related tools under different conditions. Supplied facts: Study S1: 8/10 correct on indoor photos. S2: 16/20 on outdoor photos. Both report </w:t>
      </w:r>
      <w:r>
        <w:rPr>
          <w:b/>
        </w:rPr>
        <w:t>80%</w:t>
      </w:r>
      <w:r>
        <w:rPr>
          <w:b w:val="0"/>
        </w:rPr>
        <w:t>.</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Record each method: Keep population, task, model version and scoring in separate columns. → Compare rates carefully: Both rates are 80%, with different denominators and conditions. → Name missing comparison: Neither study directly compares both tools on the same photos."/>
            <wp:cNvGraphicFramePr>
              <a:graphicFrameLocks noChangeAspect="1"/>
            </wp:cNvGraphicFramePr>
            <a:graphic>
              <a:graphicData uri="http://schemas.openxmlformats.org/drawingml/2006/picture">
                <pic:pic>
                  <pic:nvPicPr>
                    <pic:cNvPr id="0" name="academy-story-ai-7-6-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Record each method: Keep population, task, model version and scoring in separate columns. → Compare rates carefully: Both rates are </w:t>
      </w:r>
      <w:r>
        <w:rPr>
          <w:b/>
        </w:rPr>
        <w:t>80%</w:t>
      </w:r>
      <w:r>
        <w:rPr>
          <w:b w:val="0"/>
        </w:rPr>
        <w:t>, with different denominators and conditions. → Name missing comparison: Neither study directly compares both tools on the same photos.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Same rate, different study conditions</w:t>
      </w:r>
    </w:p>
    <w:p>
      <w:r>
        <w:drawing>
          <wp:inline xmlns:a="http://schemas.openxmlformats.org/drawingml/2006/main" xmlns:pic="http://schemas.openxmlformats.org/drawingml/2006/picture">
            <wp:extent cx="5486400" cy="3096768"/>
            <wp:docPr id="7" name="Picture 7" descr="Same rate, different study conditions. Study S1: Correct = 8, Total = 10, Condition = Indoor. Study S2: Correct = 16, Total = 20, Condition = Outdoor."/>
            <wp:cNvGraphicFramePr>
              <a:graphicFrameLocks noChangeAspect="1"/>
            </wp:cNvGraphicFramePr>
            <a:graphic>
              <a:graphicData uri="http://schemas.openxmlformats.org/drawingml/2006/picture">
                <pic:pic>
                  <pic:nvPicPr>
                    <pic:cNvPr id="0" name="academy-story-ai-7-6-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Same rate, different study conditions. Study S1: Correct = 8, Total = 10, Condition = Indoor. Study S2: Correct = 16, Total = 20, Condition = Outdoor.</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Neither study directly compares both tools on the same photos. Changed condition: Remove the indoor/outdoor column. Expected result: The matrix conceals an important condition difference. Reason: A reader might now mistake unlike studies for a controlled head-to-head comparison."/>
            <wp:cNvGraphicFramePr>
              <a:graphicFrameLocks noChangeAspect="1"/>
            </wp:cNvGraphicFramePr>
            <a:graphic>
              <a:graphicData uri="http://schemas.openxmlformats.org/drawingml/2006/picture">
                <pic:pic>
                  <pic:nvPicPr>
                    <pic:cNvPr id="0" name="academy-story-ai-7-6-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Neither study directly compares both tools on the same photos. Changed condition: Remove the indoor/outdoor column. Expected result: The matrix conceals an important condition difference.</w:t>
      </w:r>
    </w:p>
    <w:p>
      <w:pPr>
        <w:spacing w:line="336" w:lineRule="auto" w:after="180"/>
      </w:pPr>
      <w:r>
        <w:rPr>
          <w:b w:val="0"/>
        </w:rPr>
        <w:t>Reason: A reader might now mistake unlike studies for a controlled head-to-head comparison.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literature matrix helps compare evidence without flattening differences. Equal percentages do not mean equivalent tasks, samples or methods. Limit: These fictional studies illustrate comparison practice; no real literature finding is asserted."/>
            <wp:cNvGraphicFramePr>
              <a:graphicFrameLocks noChangeAspect="1"/>
            </wp:cNvGraphicFramePr>
            <a:graphic>
              <a:graphicData uri="http://schemas.openxmlformats.org/drawingml/2006/picture">
                <pic:pic>
                  <pic:nvPicPr>
                    <pic:cNvPr id="0" name="academy-story-ai-7-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literature matrix</w:t>
      </w:r>
      <w:r>
        <w:rPr>
          <w:b w:val="0"/>
        </w:rPr>
        <w:t xml:space="preserve"> helps compare </w:t>
      </w:r>
      <w:r>
        <w:rPr>
          <w:b/>
        </w:rPr>
        <w:t>evidence</w:t>
      </w:r>
      <w:r>
        <w:rPr>
          <w:b w:val="0"/>
        </w:rPr>
        <w:t xml:space="preserve"> without flattening differences. Equal percentages do not mean equivalent tasks, samples or methods.</w:t>
      </w:r>
    </w:p>
    <w:p>
      <w:pPr>
        <w:spacing w:line="336" w:lineRule="auto" w:after="180"/>
      </w:pPr>
      <w:r>
        <w:rPr>
          <w:b w:val="0"/>
        </w:rPr>
        <w:t>Limit: These fictional studies illustrate comparison practice; no real literature finding is asserted.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Explain why 8/10 indoors and 16/20 outdoors share a rate but not a controlled comparison. Which condition column must the literature matrix preserve?"/>
            <wp:cNvGraphicFramePr>
              <a:graphicFrameLocks noChangeAspect="1"/>
            </wp:cNvGraphicFramePr>
            <a:graphic>
              <a:graphicData uri="http://schemas.openxmlformats.org/drawingml/2006/picture">
                <pic:pic>
                  <pic:nvPicPr>
                    <pic:cNvPr id="0" name="academy-story-ai-7-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Explain why 8/10 indoors and 16/20 outdoors share a rate but not a controlled comparison. Which condition column must the </w:t>
      </w:r>
      <w:r>
        <w:rPr>
          <w:b/>
        </w:rPr>
        <w:t>literature matrix</w:t>
      </w:r>
      <w:r>
        <w:rPr>
          <w:b w:val="0"/>
        </w:rPr>
        <w:t xml:space="preserve"> preserve?</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A literature comparison matrix: the case</w:t>
      </w:r>
    </w:p>
    <w:p>
      <w:pPr>
        <w:pStyle w:val="Heading3"/>
      </w:pPr>
      <w:r>
        <w:t>02. Follow the deciding steps</w:t>
      </w:r>
    </w:p>
    <w:p>
      <w:pPr>
        <w:pStyle w:val="Heading3"/>
      </w:pPr>
      <w:r>
        <w:t>03. Same rate, different study conditions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