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ai-7/18</w:t>
      </w:r>
    </w:p>
    <w:p>
      <w:pPr>
        <w:pStyle w:val="Title"/>
      </w:pPr>
      <w:r>
        <w:t>Dataset and benchmark limitations</w:t>
      </w:r>
    </w:p>
    <w:p>
      <w:r>
        <w:t>Project: Reproducible AI Research Study</w:t>
      </w:r>
    </w:p>
    <w:p>
      <w:pPr>
        <w:pStyle w:val="Heading1"/>
      </w:pPr>
      <w:r>
        <w:t>Count the sources. Name the setting. Keep unknowns visible.</w:t>
      </w:r>
    </w:p>
    <w:p>
      <w:r>
        <w:t>Audit duplicate weighting and benchmark coverage without inventing independent units or unmeasured performance.</w:t>
      </w:r>
    </w:p>
    <w:p>
      <w:r>
        <w:t>Source contract → ten-row identity ledger → native setting-coverage chart → slice/pooled probes → metadata audit → independent twelve-row case.</w:t>
      </w:r>
    </w:p>
    <w:p>
      <w:pPr>
        <w:pStyle w:val="Heading1"/>
      </w:pPr>
      <w:r>
        <w:t>01. Audit what the benchmark represents before extending its score</w:t>
      </w:r>
    </w:p>
    <w:p>
      <w:r>
        <w:t>Rows, source units and intended settings answer different questions.</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dataset and </w:t>
      </w:r>
      <w:r>
        <w:rPr>
          <w:b/>
        </w:rPr>
        <w:t>benchmark</w:t>
      </w:r>
      <w:r>
        <w:rPr>
          <w:b w:val="0"/>
        </w:rPr>
        <w:t xml:space="preserve"> limitations.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experimental units and evaluation scope</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Sensitivity analysis. Give an example and a mistake that the idea helps you avoid.</w:t>
      </w:r>
    </w:p>
    <w:p>
      <w:pPr>
        <w:spacing w:line="336" w:lineRule="auto" w:after="180"/>
      </w:pPr>
      <w:r>
        <w:rPr>
          <w:b w:val="0"/>
        </w:rPr>
        <w:t>Without opening the old lesson, explain one key idea from Multiple comparisons. Give an example and a mistake that the idea helps you avoid.</w:t>
      </w:r>
    </w:p>
    <w:p>
      <w:pPr>
        <w:spacing w:line="336" w:lineRule="auto" w:after="180"/>
      </w:pPr>
      <w:r>
        <w:rPr>
          <w:b w:val="0"/>
        </w:rPr>
        <w:t>Without opening the old lesson, explain one key idea from Uncertainty intervals.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Starting response</w:t>
      </w:r>
    </w:p>
    <w:p>
      <w:pPr>
        <w:pStyle w:val="ListBullet"/>
      </w:pPr>
      <w:r>
        <w:t>Recall Sensitivity analysis.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dataset and </w:t>
      </w:r>
      <w:r>
        <w:rPr>
          <w:b/>
        </w:rPr>
        <w:t>benchmark</w:t>
      </w:r>
      <w:r>
        <w:rPr>
          <w:b w:val="0"/>
        </w:rPr>
        <w:t xml:space="preserve"> limitations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dataset and </w:t>
      </w:r>
      <w:r>
        <w:rPr>
          <w:b/>
        </w:rPr>
        <w:t>benchmark</w:t>
      </w:r>
      <w:r>
        <w:rPr>
          <w:b w:val="0"/>
        </w:rPr>
        <w:t xml:space="preserve"> limitations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Separate identity, coverage and correctness</w:t>
      </w:r>
    </w:p>
    <w:p>
      <w:r>
        <w:t>Each missing property needs evidence rather than a plausible assumption.</w:t>
      </w:r>
    </w:p>
    <w:p>
      <w:pPr>
        <w:pStyle w:val="Heading2"/>
      </w:pPr>
      <w:r>
        <w:t>Begin with the benchmark’s boundary</w:t>
      </w:r>
    </w:p>
    <w:p>
      <w:pPr>
        <w:spacing w:line="336" w:lineRule="auto" w:after="180"/>
      </w:pPr>
      <w:r>
        <w:rPr>
          <w:b w:val="0"/>
        </w:rPr>
        <w:t>A benchmark score belongs to a particular set of tasks, sources, labels and collection conditions. Ten rows need not represent ten distinct sources, and a clean indoor photo score need not describe shaded outdoor photos. Before interpreting a result, count the declared source units and identify the intended setting that is absent.</w:t>
      </w:r>
    </w:p>
    <w:p>
      <w:pPr>
        <w:spacing w:line="336" w:lineRule="auto" w:after="180"/>
      </w:pPr>
      <w:r>
        <w:rPr>
          <w:b w:val="0"/>
        </w:rPr>
        <w:t>Keep missing performance unknown rather than converting it to zero or assuming the measured score transfers.</w:t>
      </w:r>
    </w:p>
    <w:p>
      <w:pPr>
        <w:pStyle w:val="Heading2"/>
      </w:pPr>
      <w:r>
        <w:t>Original benchmark explanation</w:t>
      </w:r>
    </w:p>
    <w:p>
      <w:pPr>
        <w:spacing w:line="336" w:lineRule="auto" w:after="180"/>
      </w:pPr>
      <w:r>
        <w:rPr>
          <w:b w:val="0"/>
        </w:rPr>
        <w:t xml:space="preserve">A </w:t>
      </w:r>
      <w:r>
        <w:rPr>
          <w:b/>
        </w:rPr>
        <w:t>benchmark</w:t>
      </w:r>
      <w:r>
        <w:rPr>
          <w:b w:val="0"/>
        </w:rPr>
        <w:t xml:space="preserve"> measures performance on its particular data and labels. Duplicates, obsolete cases or poor coverage can weaken claims.</w:t>
      </w:r>
    </w:p>
    <w:p>
      <w:pPr>
        <w:pStyle w:val="Heading2"/>
      </w:pPr>
      <w:r>
        <w:t>Complete source and coverage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Audit item</w:t>
            </w:r>
          </w:p>
        </w:tc>
        <w:tc>
          <w:tcPr>
            <w:tcW w:type="dxa" w:w="5112"/>
          </w:tcPr>
          <w:p>
            <w:r>
              <w:t>Complete supplied contract</w:t>
            </w:r>
          </w:p>
        </w:tc>
      </w:tr>
      <w:tr>
        <w:tc>
          <w:tcPr>
            <w:tcW w:type="dxa" w:w="5112"/>
          </w:tcPr>
          <w:p>
            <w:r>
              <w:t>Main source arrangement</w:t>
            </w:r>
          </w:p>
        </w:tc>
        <w:tc>
          <w:tcPr>
            <w:tcW w:type="dxa" w:w="5112"/>
          </w:tcPr>
          <w:p>
            <w:r>
              <w:t>Ten rows: three copies of S1 plus seven other distinct source IDs S2–S8</w:t>
            </w:r>
          </w:p>
        </w:tc>
      </w:tr>
      <w:tr>
        <w:tc>
          <w:tcPr>
            <w:tcW w:type="dxa" w:w="5112"/>
          </w:tcPr>
          <w:p>
            <w:r>
              <w:t>Distinct source count</w:t>
            </w:r>
          </w:p>
        </w:tc>
        <w:tc>
          <w:tcPr>
            <w:tcW w:type="dxa" w:w="5112"/>
          </w:tcPr>
          <w:p>
            <w:r>
              <w:t>One repeated source + seven others = eight</w:t>
            </w:r>
          </w:p>
        </w:tc>
      </w:tr>
      <w:tr>
        <w:tc>
          <w:tcPr>
            <w:tcW w:type="dxa" w:w="5112"/>
          </w:tcPr>
          <w:p>
            <w:r>
              <w:t>Duplicate weighting</w:t>
            </w:r>
          </w:p>
        </w:tc>
        <w:tc>
          <w:tcPr>
            <w:tcW w:type="dxa" w:w="5112"/>
          </w:tcPr>
          <w:p>
            <w:r>
              <w:t>S1 contributes three rows; each other source contributes one</w:t>
            </w:r>
          </w:p>
        </w:tc>
      </w:tr>
      <w:tr>
        <w:tc>
          <w:tcPr>
            <w:tcW w:type="dxa" w:w="5112"/>
          </w:tcPr>
          <w:p>
            <w:r>
              <w:t>Extra rows beyond one per source</w:t>
            </w:r>
          </w:p>
        </w:tc>
        <w:tc>
          <w:tcPr>
            <w:tcW w:type="dxa" w:w="5112"/>
          </w:tcPr>
          <w:p>
            <w:r>
              <w:t>Two; do not confuse three copies with three extra copies</w:t>
            </w:r>
          </w:p>
        </w:tc>
      </w:tr>
      <w:tr>
        <w:tc>
          <w:tcPr>
            <w:tcW w:type="dxa" w:w="5112"/>
          </w:tcPr>
          <w:p>
            <w:r>
              <w:t>Independence</w:t>
            </w:r>
          </w:p>
        </w:tc>
        <w:tc>
          <w:tcPr>
            <w:tcW w:type="dxa" w:w="5112"/>
          </w:tcPr>
          <w:p>
            <w:r>
              <w:t>Different source IDs do not prove independent sampling</w:t>
            </w:r>
          </w:p>
        </w:tc>
      </w:tr>
      <w:tr>
        <w:tc>
          <w:tcPr>
            <w:tcW w:type="dxa" w:w="5112"/>
          </w:tcPr>
          <w:p>
            <w:r>
              <w:t>Separate picture</w:t>
            </w:r>
          </w:p>
        </w:tc>
        <w:tc>
          <w:tcPr>
            <w:tcW w:type="dxa" w:w="5112"/>
          </w:tcPr>
          <w:p>
            <w:r>
              <w:t>Indoor 9/10; outdoor initially unmeasured</w:t>
            </w:r>
          </w:p>
        </w:tc>
      </w:tr>
      <w:tr>
        <w:tc>
          <w:tcPr>
            <w:tcW w:type="dxa" w:w="5112"/>
          </w:tcPr>
          <w:p>
            <w:r>
              <w:t>Changed picture</w:t>
            </w:r>
          </w:p>
        </w:tc>
        <w:tc>
          <w:tcPr>
            <w:tcW w:type="dxa" w:w="5112"/>
          </w:tcPr>
          <w:p>
            <w:r>
              <w:t>Four reserved outdoor cases supplied, two correct</w:t>
            </w:r>
          </w:p>
        </w:tc>
      </w:tr>
      <w:tr>
        <w:tc>
          <w:tcPr>
            <w:tcW w:type="dxa" w:w="5112"/>
          </w:tcPr>
          <w:p>
            <w:r>
              <w:t>Unassessed properties</w:t>
            </w:r>
          </w:p>
        </w:tc>
        <w:tc>
          <w:tcPr>
            <w:tcW w:type="dxa" w:w="5112"/>
          </w:tcPr>
          <w:p>
            <w:r>
              <w:t>Source independence, label validity, eligibility, future representativeness and raw per-source outcomes</w:t>
            </w:r>
          </w:p>
        </w:tc>
      </w:tr>
    </w:tbl>
    <w:p>
      <w:pPr>
        <w:pStyle w:val="Heading2"/>
      </w:pPr>
      <w:r>
        <w:t>Given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ten rows back to eight source identities</w:t>
      </w:r>
    </w:p>
    <w:p>
      <w:r>
        <w:t>Three copies represent one source and two extra rows beyond a one-per-source count.</w:t>
      </w:r>
    </w:p>
    <w:p>
      <w:pPr>
        <w:pStyle w:val="Heading2"/>
      </w:pPr>
      <w:r>
        <w:t>Original eligibility and identity procedure</w:t>
      </w:r>
    </w:p>
    <w:p>
      <w:pPr>
        <w:spacing w:line="336" w:lineRule="auto" w:after="180"/>
      </w:pPr>
      <w:r>
        <w:rPr>
          <w:b w:val="0"/>
        </w:rPr>
        <w:t>Inspect eligibility, source dates, related units and label definitions before scoring. Deduplicate by declared unit identity, not merely file name; report excluded and unassessed cases.</w:t>
      </w:r>
    </w:p>
    <w:p>
      <w:pPr>
        <w:pStyle w:val="Heading2"/>
      </w:pPr>
      <w:r>
        <w:t>Complete illustrative row-to-source ledger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Declared source ID</w:t>
            </w:r>
          </w:p>
        </w:tc>
        <w:tc>
          <w:tcPr>
            <w:tcW w:type="dxa" w:w="3408"/>
          </w:tcPr>
          <w:p>
            <w:r>
              <w:t>Row IDs in illustrative arrangement</w:t>
            </w:r>
          </w:p>
        </w:tc>
        <w:tc>
          <w:tcPr>
            <w:tcW w:type="dxa" w:w="3408"/>
          </w:tcPr>
          <w:p>
            <w:r>
              <w:t>Row weight</w:t>
            </w:r>
          </w:p>
        </w:tc>
      </w:tr>
      <w:tr>
        <w:tc>
          <w:tcPr>
            <w:tcW w:type="dxa" w:w="3408"/>
          </w:tcPr>
          <w:p>
            <w:r>
              <w:t>S1</w:t>
            </w:r>
          </w:p>
        </w:tc>
        <w:tc>
          <w:tcPr>
            <w:tcW w:type="dxa" w:w="3408"/>
          </w:tcPr>
          <w:p>
            <w:r>
              <w:t>R1, R2, R3</w:t>
            </w:r>
          </w:p>
        </w:tc>
        <w:tc>
          <w:tcPr>
            <w:tcW w:type="dxa" w:w="3408"/>
          </w:tcPr>
          <w:p>
            <w:r>
              <w:t>3 of 10</w:t>
            </w:r>
          </w:p>
        </w:tc>
      </w:tr>
      <w:tr>
        <w:tc>
          <w:tcPr>
            <w:tcW w:type="dxa" w:w="3408"/>
          </w:tcPr>
          <w:p>
            <w:r>
              <w:t>S2</w:t>
            </w:r>
          </w:p>
        </w:tc>
        <w:tc>
          <w:tcPr>
            <w:tcW w:type="dxa" w:w="3408"/>
          </w:tcPr>
          <w:p>
            <w:r>
              <w:t>R4</w:t>
            </w:r>
          </w:p>
        </w:tc>
        <w:tc>
          <w:tcPr>
            <w:tcW w:type="dxa" w:w="3408"/>
          </w:tcPr>
          <w:p>
            <w:r>
              <w:t>1 of 10</w:t>
            </w:r>
          </w:p>
        </w:tc>
      </w:tr>
      <w:tr>
        <w:tc>
          <w:tcPr>
            <w:tcW w:type="dxa" w:w="3408"/>
          </w:tcPr>
          <w:p>
            <w:r>
              <w:t>S3</w:t>
            </w:r>
          </w:p>
        </w:tc>
        <w:tc>
          <w:tcPr>
            <w:tcW w:type="dxa" w:w="3408"/>
          </w:tcPr>
          <w:p>
            <w:r>
              <w:t>R5</w:t>
            </w:r>
          </w:p>
        </w:tc>
        <w:tc>
          <w:tcPr>
            <w:tcW w:type="dxa" w:w="3408"/>
          </w:tcPr>
          <w:p>
            <w:r>
              <w:t>1 of 10</w:t>
            </w:r>
          </w:p>
        </w:tc>
      </w:tr>
      <w:tr>
        <w:tc>
          <w:tcPr>
            <w:tcW w:type="dxa" w:w="3408"/>
          </w:tcPr>
          <w:p>
            <w:r>
              <w:t>S4</w:t>
            </w:r>
          </w:p>
        </w:tc>
        <w:tc>
          <w:tcPr>
            <w:tcW w:type="dxa" w:w="3408"/>
          </w:tcPr>
          <w:p>
            <w:r>
              <w:t>R6</w:t>
            </w:r>
          </w:p>
        </w:tc>
        <w:tc>
          <w:tcPr>
            <w:tcW w:type="dxa" w:w="3408"/>
          </w:tcPr>
          <w:p>
            <w:r>
              <w:t>1 of 10</w:t>
            </w:r>
          </w:p>
        </w:tc>
      </w:tr>
      <w:tr>
        <w:tc>
          <w:tcPr>
            <w:tcW w:type="dxa" w:w="3408"/>
          </w:tcPr>
          <w:p>
            <w:r>
              <w:t>S5</w:t>
            </w:r>
          </w:p>
        </w:tc>
        <w:tc>
          <w:tcPr>
            <w:tcW w:type="dxa" w:w="3408"/>
          </w:tcPr>
          <w:p>
            <w:r>
              <w:t>R7</w:t>
            </w:r>
          </w:p>
        </w:tc>
        <w:tc>
          <w:tcPr>
            <w:tcW w:type="dxa" w:w="3408"/>
          </w:tcPr>
          <w:p>
            <w:r>
              <w:t>1 of 10</w:t>
            </w:r>
          </w:p>
        </w:tc>
      </w:tr>
      <w:tr>
        <w:tc>
          <w:tcPr>
            <w:tcW w:type="dxa" w:w="3408"/>
          </w:tcPr>
          <w:p>
            <w:r>
              <w:t>S6</w:t>
            </w:r>
          </w:p>
        </w:tc>
        <w:tc>
          <w:tcPr>
            <w:tcW w:type="dxa" w:w="3408"/>
          </w:tcPr>
          <w:p>
            <w:r>
              <w:t>R8</w:t>
            </w:r>
          </w:p>
        </w:tc>
        <w:tc>
          <w:tcPr>
            <w:tcW w:type="dxa" w:w="3408"/>
          </w:tcPr>
          <w:p>
            <w:r>
              <w:t>1 of 10</w:t>
            </w:r>
          </w:p>
        </w:tc>
      </w:tr>
      <w:tr>
        <w:tc>
          <w:tcPr>
            <w:tcW w:type="dxa" w:w="3408"/>
          </w:tcPr>
          <w:p>
            <w:r>
              <w:t>S7</w:t>
            </w:r>
          </w:p>
        </w:tc>
        <w:tc>
          <w:tcPr>
            <w:tcW w:type="dxa" w:w="3408"/>
          </w:tcPr>
          <w:p>
            <w:r>
              <w:t>R9</w:t>
            </w:r>
          </w:p>
        </w:tc>
        <w:tc>
          <w:tcPr>
            <w:tcW w:type="dxa" w:w="3408"/>
          </w:tcPr>
          <w:p>
            <w:r>
              <w:t>1 of 10</w:t>
            </w:r>
          </w:p>
        </w:tc>
      </w:tr>
      <w:tr>
        <w:tc>
          <w:tcPr>
            <w:tcW w:type="dxa" w:w="3408"/>
          </w:tcPr>
          <w:p>
            <w:r>
              <w:t>S8</w:t>
            </w:r>
          </w:p>
        </w:tc>
        <w:tc>
          <w:tcPr>
            <w:tcW w:type="dxa" w:w="3408"/>
          </w:tcPr>
          <w:p>
            <w:r>
              <w:t>R10</w:t>
            </w:r>
          </w:p>
        </w:tc>
        <w:tc>
          <w:tcPr>
            <w:tcW w:type="dxa" w:w="3408"/>
          </w:tcPr>
          <w:p>
            <w:r>
              <w:t>1 of 10</w:t>
            </w:r>
          </w:p>
        </w:tc>
      </w:tr>
      <w:tr>
        <w:tc>
          <w:tcPr>
            <w:tcW w:type="dxa" w:w="3408"/>
          </w:tcPr>
          <w:p>
            <w:r>
              <w:t>Total</w:t>
            </w:r>
          </w:p>
        </w:tc>
        <w:tc>
          <w:tcPr>
            <w:tcW w:type="dxa" w:w="3408"/>
          </w:tcPr>
          <w:p>
            <w:r>
              <w:t>Ten rows; eight distinct IDs</w:t>
            </w:r>
          </w:p>
        </w:tc>
        <w:tc>
          <w:tcPr>
            <w:tcW w:type="dxa" w:w="3408"/>
          </w:tcPr>
          <w:p>
            <w:r>
              <w:t>S1 receives triple row weight</w:t>
            </w:r>
          </w:p>
        </w:tc>
      </w:tr>
      <w:tr>
        <w:tc>
          <w:tcPr>
            <w:tcW w:type="dxa" w:w="3408"/>
          </w:tcPr>
          <w:p>
            <w:r>
              <w:t>Evidence limit</w:t>
            </w:r>
          </w:p>
        </w:tc>
        <w:tc>
          <w:tcPr>
            <w:tcW w:type="dxa" w:w="3408"/>
          </w:tcPr>
          <w:p>
            <w:r>
              <w:t>IDs illustrate supplied arrangement</w:t>
            </w:r>
          </w:p>
        </w:tc>
        <w:tc>
          <w:tcPr>
            <w:tcW w:type="dxa" w:w="3408"/>
          </w:tcPr>
          <w:p>
            <w:r>
              <w:t>No labels or independent sampling inferred</w:t>
            </w:r>
          </w:p>
        </w:tc>
      </w:tr>
    </w:tbl>
    <w:p>
      <w:pPr>
        <w:pStyle w:val="Heading2"/>
      </w:pPr>
      <w:r>
        <w:t>Preserve exclusions, assumptions and visual explanation</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Dataset and benchmark limitations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Ten benchmark rows include three copies of one source and seven other unique sources.</w:t>
            </w:r>
          </w:p>
        </w:tc>
        <w:tc>
          <w:tcPr>
            <w:tcW w:type="dxa" w:w="3408"/>
          </w:tcPr>
          <w:p>
            <w:r>
              <w:t>Inspect eligibility, source dates, related units and label definitions before scoring. Deduplicate by declared unit identity, not merely file name; report excluded and unassessed cases.</w:t>
            </w:r>
          </w:p>
        </w:tc>
        <w:tc>
          <w:tcPr>
            <w:tcW w:type="dxa" w:w="3408"/>
          </w:tcPr>
          <w:p>
            <w:r>
              <w:t>Eight unique source units, not ten independent sources. Identify duplicate weighting before analysis; do not silently discard results.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what four supplied outdoor cases add</w:t>
      </w:r>
    </w:p>
    <w:p>
      <w:r>
        <w:t>New outdoor evidence narrows one gap without proving future performance.</w:t>
      </w:r>
    </w:p>
    <w:p>
      <w:pPr>
        <w:pStyle w:val="Heading2"/>
      </w:pPr>
      <w:r>
        <w:t>Main task and response</w:t>
      </w:r>
    </w:p>
    <w:p>
      <w:pPr>
        <w:pStyle w:val="ListBullet"/>
      </w:pPr>
      <w:r>
        <w:t>Ten benchmark rows include three copies of one source and seven other unique sources.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changed outdoor slice</w:t>
      </w:r>
    </w:p>
    <w:p>
      <w:pPr>
        <w:pStyle w:val="ListBullet"/>
      </w:pPr>
      <w:r>
        <w:t>Change: Add four reserved outdoor cases, of which two are correct.</w:t>
      </w:r>
    </w:p>
    <w:p>
      <w:pPr>
        <w:pStyle w:val="Heading2"/>
      </w:pPr>
      <w:r>
        <w:t>Check after predicting · reference / check after trying</w:t>
      </w:r>
    </w:p>
    <w:p>
      <w:pPr>
        <w:spacing w:line="336" w:lineRule="auto" w:after="180"/>
      </w:pPr>
      <w:r>
        <w:rPr>
          <w:b/>
        </w:rPr>
        <w:t>Prediction</w:t>
      </w:r>
      <w:r>
        <w:rPr>
          <w:b w:val="0"/>
        </w:rPr>
        <w:t>: Report the outdoor slice as 2/4=50%, separately from indoor results.</w:t>
      </w:r>
    </w:p>
    <w:p>
      <w:pPr>
        <w:spacing w:line="336" w:lineRule="auto" w:after="180"/>
      </w:pPr>
      <w:r>
        <w:rPr>
          <w:b w:val="0"/>
        </w:rPr>
        <w:t>Reason: The new records finally measure the missing condition, with a small denominator.</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measured and missing settings beside their denominators</w:t>
      </w:r>
    </w:p>
    <w:p>
      <w:r>
        <w:t>Keep the main source-count example separate from the photo coverage example.</w:t>
      </w:r>
    </w:p>
    <w:p>
      <w:pPr>
        <w:pStyle w:val="Heading2"/>
      </w:pPr>
      <w:r>
        <w:t>Main distinct-source count and scope</w:t>
      </w:r>
    </w:p>
    <w:p>
      <w:pPr>
        <w:spacing w:line="336" w:lineRule="auto" w:after="180"/>
      </w:pPr>
      <w:r>
        <w:rPr>
          <w:b w:val="0"/>
        </w:rPr>
        <w:t xml:space="preserve">Ten </w:t>
      </w:r>
      <w:r>
        <w:rPr>
          <w:b/>
        </w:rPr>
        <w:t>benchmark</w:t>
      </w:r>
      <w:r>
        <w:rPr>
          <w:b w:val="0"/>
        </w:rPr>
        <w:t xml:space="preserve"> rows include three copies of one source and seven other unique sources.</w:t>
      </w:r>
    </w:p>
    <w:p>
      <w:pPr>
        <w:spacing w:line="336" w:lineRule="auto" w:after="180"/>
      </w:pPr>
      <w:r>
        <w:rPr>
          <w:b w:val="0"/>
        </w:rPr>
        <w:t>Eight unique source units, not ten independent sources. Identify duplicate weighting before analysis; do not silently discard results.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indoor/outdoor facts</w:t>
      </w:r>
    </w:p>
    <w:p>
      <w:pPr>
        <w:spacing w:line="336" w:lineRule="auto" w:after="180"/>
      </w:pPr>
      <w:r>
        <w:rPr>
          <w:b w:val="0"/>
        </w:rPr>
        <w:t xml:space="preserve">A </w:t>
      </w:r>
      <w:r>
        <w:rPr>
          <w:b/>
        </w:rPr>
        <w:t>benchmark</w:t>
      </w:r>
      <w:r>
        <w:rPr>
          <w:b w:val="0"/>
        </w:rPr>
        <w:t xml:space="preserve"> can miss the intended setting. A plant model is evaluated on clean indoor photos but proposed for shaded outdoor photos.</w:t>
      </w:r>
    </w:p>
    <w:p>
      <w:pPr>
        <w:spacing w:line="336" w:lineRule="auto" w:after="180"/>
      </w:pPr>
      <w:r>
        <w:rPr>
          <w:b w:val="0"/>
        </w:rPr>
        <w:t xml:space="preserve">Indoor </w:t>
      </w:r>
      <w:r>
        <w:rPr>
          <w:b/>
        </w:rPr>
        <w:t>benchmark</w:t>
      </w:r>
      <w:r>
        <w:rPr>
          <w:b w:val="0"/>
        </w:rPr>
        <w:t>: 9/10 correct. No outdoor cases are present. The same model is intended for both.</w:t>
      </w:r>
    </w:p>
    <w:p>
      <w:pPr>
        <w:spacing w:line="336" w:lineRule="auto" w:after="180"/>
      </w:pPr>
      <w:r>
        <w:rPr>
          <w:b w:val="0"/>
        </w:rPr>
        <w:t>The picture’s original ten photos are all clean indoor images: nine correct gives 90% on that supplied slice. There are no outdoor cases, so outdoor accuracy is unmeasured. In the changed teaching scenario, four reserved outdoor cases are supplied and two are correct, giving 50% for that slice. Pooling both settings gives 11/14, approximately 78.6%, but that pooled rate is not outdoor performance.</w:t>
      </w:r>
    </w:p>
    <w:p>
      <w:pPr>
        <w:spacing w:line="336" w:lineRule="auto" w:after="180"/>
      </w:pPr>
      <w:r>
        <w:rPr>
          <w:b w:val="0"/>
        </w:rPr>
        <w:t>The lower observed outdoor slice does not identify the cause, establish significance or prove all future outdoor images will behave similarly. No new photos or model outputs were actually collected for this lesson.</w:t>
      </w:r>
    </w:p>
    <w:p>
      <w:pPr>
        <w:pStyle w:val="Heading2"/>
      </w:pPr>
      <w:r>
        <w:t>See measured, missing and added slices</w:t>
      </w:r>
    </w:p>
    <w:p>
      <w:r>
        <w:drawing>
          <wp:inline xmlns:a="http://schemas.openxmlformats.org/drawingml/2006/main" xmlns:pic="http://schemas.openxmlformats.org/drawingml/2006/picture">
            <wp:extent cx="5486400" cy="3029913"/>
            <wp:docPr id="1" name="Picture 1" descr="Indoor benchmark has nine correct of ten, or ninety percent. Outdoor shade initially has no measured cases, so performance is unknown. Changed scenario supplies two correct of four outdoor cases, or fifty percent; pooling gives eleven of fourteen, approximately seventy-eight point six percent, which is not the outdoor rate."/>
            <wp:cNvGraphicFramePr>
              <a:graphicFrameLocks noChangeAspect="1"/>
            </wp:cNvGraphicFramePr>
            <a:graphic>
              <a:graphicData uri="http://schemas.openxmlformats.org/drawingml/2006/picture">
                <pic:pic>
                  <pic:nvPicPr>
                    <pic:cNvPr id="0" name="ai-7-18-benchmark-coverage.png"/>
                    <pic:cNvPicPr/>
                  </pic:nvPicPr>
                  <pic:blipFill>
                    <a:blip r:embed="rId9"/>
                    <a:stretch>
                      <a:fillRect/>
                    </a:stretch>
                  </pic:blipFill>
                  <pic:spPr>
                    <a:xfrm>
                      <a:off x="0" y="0"/>
                      <a:ext cx="5486400" cy="3029913"/>
                    </a:xfrm>
                    <a:prstGeom prst="rect"/>
                  </pic:spPr>
                </pic:pic>
              </a:graphicData>
            </a:graphic>
          </wp:inline>
        </w:drawing>
      </w:r>
    </w:p>
    <w:p>
      <w:r>
        <w:drawing>
          <wp:inline xmlns:a="http://schemas.openxmlformats.org/drawingml/2006/main" xmlns:pic="http://schemas.openxmlformats.org/drawingml/2006/picture">
            <wp:extent cx="5486400" cy="3182112"/>
            <wp:docPr id="2" name="Picture 2" descr="Name measured setting: All ten benchmark images are clean indoor photos. → Report the result: The observed indoor score is 90%. → Name missing evidence: Outdoor shade performance remains unmeasured."/>
            <wp:cNvGraphicFramePr>
              <a:graphicFrameLocks noChangeAspect="1"/>
            </wp:cNvGraphicFramePr>
            <a:graphic>
              <a:graphicData uri="http://schemas.openxmlformats.org/drawingml/2006/picture">
                <pic:pic>
                  <pic:nvPicPr>
                    <pic:cNvPr id="0" name="academy-story-ai-7-18-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measured setting</w:t>
            </w:r>
          </w:p>
        </w:tc>
        <w:tc>
          <w:tcPr>
            <w:tcW w:type="dxa" w:w="5112"/>
          </w:tcPr>
          <w:p>
            <w:r>
              <w:t>All ten benchmark images are clean indoor photos.</w:t>
            </w:r>
          </w:p>
        </w:tc>
      </w:tr>
      <w:tr>
        <w:tc>
          <w:tcPr>
            <w:tcW w:type="dxa" w:w="5112"/>
          </w:tcPr>
          <w:p>
            <w:r>
              <w:t>2. Report the result</w:t>
            </w:r>
          </w:p>
        </w:tc>
        <w:tc>
          <w:tcPr>
            <w:tcW w:type="dxa" w:w="5112"/>
          </w:tcPr>
          <w:p>
            <w:r>
              <w:t>The observed indoor score is 90%.</w:t>
            </w:r>
          </w:p>
        </w:tc>
      </w:tr>
      <w:tr>
        <w:tc>
          <w:tcPr>
            <w:tcW w:type="dxa" w:w="5112"/>
          </w:tcPr>
          <w:p>
            <w:r>
              <w:t>3. Name missing evidence</w:t>
            </w:r>
          </w:p>
        </w:tc>
        <w:tc>
          <w:tcPr>
            <w:tcW w:type="dxa" w:w="5112"/>
          </w:tcPr>
          <w:p>
            <w:r>
              <w:t>Outdoor shade performance remains unmeasured.</w:t>
            </w:r>
          </w:p>
        </w:tc>
      </w:tr>
    </w:tbl>
    <w:p>
      <w:r>
        <w:t>Match each pictured step to the supplied facts. This is a worked teaching case, not an independent assessment.</w:t>
      </w:r>
    </w:p>
    <w:p>
      <w:pPr>
        <w:spacing w:line="336" w:lineRule="auto" w:after="180"/>
      </w:pPr>
      <w:r>
        <w:rPr>
          <w:b w:val="0"/>
        </w:rPr>
        <w:t xml:space="preserve">A </w:t>
      </w:r>
      <w:r>
        <w:rPr>
          <w:b/>
        </w:rPr>
        <w:t>benchmark</w:t>
      </w:r>
      <w:r>
        <w:rPr>
          <w:b w:val="0"/>
        </w:rPr>
        <w:t xml:space="preserve"> represents particular tasks and collection conditions. High performance on it cannot automatically establish fitness for a different deployment setting.</w:t>
      </w:r>
    </w:p>
    <w:p>
      <w:pPr>
        <w:pStyle w:val="Heading2"/>
      </w:pPr>
      <w:r>
        <w:t>Complete slice and pooled-rate comparison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Setting</w:t>
            </w:r>
          </w:p>
        </w:tc>
        <w:tc>
          <w:tcPr>
            <w:tcW w:type="dxa" w:w="3408"/>
          </w:tcPr>
          <w:p>
            <w:r>
              <w:t>Original supplied evidence</w:t>
            </w:r>
          </w:p>
        </w:tc>
        <w:tc>
          <w:tcPr>
            <w:tcW w:type="dxa" w:w="3408"/>
          </w:tcPr>
          <w:p>
            <w:r>
              <w:t>Changed supplied evidence</w:t>
            </w:r>
          </w:p>
        </w:tc>
      </w:tr>
      <w:tr>
        <w:tc>
          <w:tcPr>
            <w:tcW w:type="dxa" w:w="3408"/>
          </w:tcPr>
          <w:p>
            <w:r>
              <w:t>Indoor</w:t>
            </w:r>
          </w:p>
        </w:tc>
        <w:tc>
          <w:tcPr>
            <w:tcW w:type="dxa" w:w="3408"/>
          </w:tcPr>
          <w:p>
            <w:r>
              <w:t>9/10 = 90%</w:t>
            </w:r>
          </w:p>
        </w:tc>
        <w:tc>
          <w:tcPr>
            <w:tcW w:type="dxa" w:w="3408"/>
          </w:tcPr>
          <w:p>
            <w:r>
              <w:t>Unchanged 9/10 = 90%</w:t>
            </w:r>
          </w:p>
        </w:tc>
      </w:tr>
      <w:tr>
        <w:tc>
          <w:tcPr>
            <w:tcW w:type="dxa" w:w="3408"/>
          </w:tcPr>
          <w:p>
            <w:r>
              <w:t>Outdoor shade</w:t>
            </w:r>
          </w:p>
        </w:tc>
        <w:tc>
          <w:tcPr>
            <w:tcW w:type="dxa" w:w="3408"/>
          </w:tcPr>
          <w:p>
            <w:r>
              <w:t>No cases; rate unknown</w:t>
            </w:r>
          </w:p>
        </w:tc>
        <w:tc>
          <w:tcPr>
            <w:tcW w:type="dxa" w:w="3408"/>
          </w:tcPr>
          <w:p>
            <w:r>
              <w:t>2/4 = 50%</w:t>
            </w:r>
          </w:p>
        </w:tc>
      </w:tr>
      <w:tr>
        <w:tc>
          <w:tcPr>
            <w:tcW w:type="dxa" w:w="3408"/>
          </w:tcPr>
          <w:p>
            <w:r>
              <w:t>Pooled descriptive rate</w:t>
            </w:r>
          </w:p>
        </w:tc>
        <w:tc>
          <w:tcPr>
            <w:tcW w:type="dxa" w:w="3408"/>
          </w:tcPr>
          <w:p>
            <w:r>
              <w:t>9/10, entirely indoor</w:t>
            </w:r>
          </w:p>
        </w:tc>
        <w:tc>
          <w:tcPr>
            <w:tcW w:type="dxa" w:w="3408"/>
          </w:tcPr>
          <w:p>
            <w:r>
              <w:t>11/14 ≈ 78.6%</w:t>
            </w:r>
          </w:p>
        </w:tc>
      </w:tr>
      <w:tr>
        <w:tc>
          <w:tcPr>
            <w:tcW w:type="dxa" w:w="3408"/>
          </w:tcPr>
          <w:p>
            <w:r>
              <w:t>Appropriate outdoor report</w:t>
            </w:r>
          </w:p>
        </w:tc>
        <w:tc>
          <w:tcPr>
            <w:tcW w:type="dxa" w:w="3408"/>
          </w:tcPr>
          <w:p>
            <w:r>
              <w:t>Unmeasured</w:t>
            </w:r>
          </w:p>
        </w:tc>
        <w:tc>
          <w:tcPr>
            <w:tcW w:type="dxa" w:w="3408"/>
          </w:tcPr>
          <w:p>
            <w:r>
              <w:t>2/4 in the supplied outdoor slice</w:t>
            </w:r>
          </w:p>
        </w:tc>
      </w:tr>
      <w:tr>
        <w:tc>
          <w:tcPr>
            <w:tcW w:type="dxa" w:w="3408"/>
          </w:tcPr>
          <w:p>
            <w:r>
              <w:t>Unsupported extension</w:t>
            </w:r>
          </w:p>
        </w:tc>
        <w:tc>
          <w:tcPr>
            <w:tcW w:type="dxa" w:w="3408"/>
          </w:tcPr>
          <w:p>
            <w:r>
              <w:t>Assume outdoor also 90%</w:t>
            </w:r>
          </w:p>
        </w:tc>
        <w:tc>
          <w:tcPr>
            <w:tcW w:type="dxa" w:w="3408"/>
          </w:tcPr>
          <w:p>
            <w:r>
              <w:t>Use pooled 78.6% as outdoor accuracy</w:t>
            </w:r>
          </w:p>
        </w:tc>
      </w:tr>
      <w:tr>
        <w:tc>
          <w:tcPr>
            <w:tcW w:type="dxa" w:w="3408"/>
          </w:tcPr>
          <w:p>
            <w:r>
              <w:t>Remaining limits</w:t>
            </w:r>
          </w:p>
        </w:tc>
        <w:tc>
          <w:tcPr>
            <w:tcW w:type="dxa" w:w="3408"/>
          </w:tcPr>
          <w:p>
            <w:r>
              <w:t>Coverage absent</w:t>
            </w:r>
          </w:p>
        </w:tc>
        <w:tc>
          <w:tcPr>
            <w:tcW w:type="dxa" w:w="3408"/>
          </w:tcPr>
          <w:p>
            <w:r>
              <w:t>Small slice, sampling and labels still need inspection</w:t>
            </w:r>
          </w:p>
        </w:tc>
      </w:tr>
    </w:tbl>
    <w:p>
      <w:pPr>
        <w:pStyle w:val="Heading2"/>
      </w:pPr>
      <w:r>
        <w:t>Predict adding four outdoor cases</w:t>
      </w:r>
    </w:p>
    <w:p>
      <w:pPr>
        <w:pStyle w:val="ListBullet"/>
      </w:pPr>
      <w:r>
        <w:t>Change one thing: Add four reserved outdoor cases, of which two are correct.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Outdoor shade performance remains unmeasured. Changed condition: Add four reserved outdoor cases, of which two are correct. Expected result: Report the outdoor slice as 2/4=50%, separately from indoor results. Reason: The new records finally measure the missing condition, with a small denominator."/>
            <wp:cNvGraphicFramePr>
              <a:graphicFrameLocks noChangeAspect="1"/>
            </wp:cNvGraphicFramePr>
            <a:graphic>
              <a:graphicData uri="http://schemas.openxmlformats.org/drawingml/2006/picture">
                <pic:pic>
                  <pic:nvPicPr>
                    <pic:cNvPr id="0" name="academy-story-ai-7-18-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remaining coverage limits</w:t>
      </w:r>
    </w:p>
    <w:p>
      <w:pPr>
        <w:pStyle w:val="ListBullet"/>
      </w:pPr>
      <w:r>
        <w:t>Neither slice estimates all future photos; inspect sampling, labels and grouping.</w:t>
      </w:r>
    </w:p>
    <w:p>
      <w:pPr>
        <w:pStyle w:val="ListBullet"/>
      </w:pPr>
      <w:r>
        <w:t>Read the labelled picture: Report the indoor benchmark with its denominator and missing condition. After two correct outdoor cases out of four are added, what slice rate is supported and what remains uncertain?</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Dataset and benchmark limitations</w:t>
      </w:r>
    </w:p>
    <w:p>
      <w:pPr>
        <w:pStyle w:val="Heading3"/>
      </w:pPr>
      <w:r>
        <w:t>The facts we will use</w:t>
      </w:r>
    </w:p>
    <w:p>
      <w:r>
        <w:drawing>
          <wp:inline xmlns:a="http://schemas.openxmlformats.org/drawingml/2006/main" xmlns:pic="http://schemas.openxmlformats.org/drawingml/2006/picture">
            <wp:extent cx="5486400" cy="3077029"/>
            <wp:docPr id="4" name="Picture 4" descr="Benchmark conditions"/>
            <wp:cNvGraphicFramePr>
              <a:graphicFrameLocks noChangeAspect="1"/>
            </wp:cNvGraphicFramePr>
            <a:graphic>
              <a:graphicData uri="http://schemas.openxmlformats.org/drawingml/2006/picture">
                <pic:pic>
                  <pic:nvPicPr>
                    <pic:cNvPr id="0" name="academy-detail-ai-7-18.png"/>
                    <pic:cNvPicPr/>
                  </pic:nvPicPr>
                  <pic:blipFill>
                    <a:blip r:embed="rId12"/>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5" name="Picture 5" descr="Dataset and benchmark limitations. Name measured setting: All ten benchmark images are clean indoor photos.. Report the result: The observed indoor score is 90%.. Name missing evidence: Outdoor shade performance remains unmeasured."/>
            <wp:cNvGraphicFramePr>
              <a:graphicFrameLocks noChangeAspect="1"/>
            </wp:cNvGraphicFramePr>
            <a:graphic>
              <a:graphicData uri="http://schemas.openxmlformats.org/drawingml/2006/picture">
                <pic:pic>
                  <pic:nvPicPr>
                    <pic:cNvPr id="0" name="academy-visual-ai-7-18.png"/>
                    <pic:cNvPicPr/>
                  </pic:nvPicPr>
                  <pic:blipFill>
                    <a:blip r:embed="rId13"/>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Repair duplicate weighting and unsupported coverage claims</w:t>
      </w:r>
    </w:p>
    <w:p>
      <w:r>
        <w:t>Preserve original records and explain every exclusion or unassessed condition.</w:t>
      </w:r>
    </w:p>
    <w:p>
      <w:pPr>
        <w:pStyle w:val="Heading2"/>
      </w:pPr>
      <w:r>
        <w:t>Original limitations and repair setup</w:t>
      </w:r>
    </w:p>
    <w:p>
      <w:pPr>
        <w:spacing w:line="336" w:lineRule="auto" w:after="180"/>
      </w:pPr>
      <w:r>
        <w:rPr>
          <w:b/>
        </w:rPr>
        <w:t>Benchmark</w:t>
      </w:r>
      <w:r>
        <w:rPr>
          <w:b w:val="0"/>
        </w:rPr>
        <w:t xml:space="preserve"> success does not establish performance on a deployment population missing from its design.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identity and coverage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Benchmark audit</w:t>
            </w:r>
          </w:p>
        </w:tc>
        <w:tc>
          <w:tcPr>
            <w:tcW w:type="dxa" w:w="5112"/>
          </w:tcPr>
          <w:p>
            <w:r>
              <w:t>Checked interpretation</w:t>
            </w:r>
          </w:p>
        </w:tc>
      </w:tr>
      <w:tr>
        <w:tc>
          <w:tcPr>
            <w:tcW w:type="dxa" w:w="5112"/>
          </w:tcPr>
          <w:p>
            <w:r>
              <w:t>Three copies of one source plus seven others</w:t>
            </w:r>
          </w:p>
        </w:tc>
        <w:tc>
          <w:tcPr>
            <w:tcW w:type="dxa" w:w="5112"/>
          </w:tcPr>
          <w:p>
            <w:r>
              <w:t>Eight source IDs, not ten independent sources</w:t>
            </w:r>
          </w:p>
        </w:tc>
      </w:tr>
      <w:tr>
        <w:tc>
          <w:tcPr>
            <w:tcW w:type="dxa" w:w="5112"/>
          </w:tcPr>
          <w:p>
            <w:r>
              <w:t>Three copies</w:t>
            </w:r>
          </w:p>
        </w:tc>
        <w:tc>
          <w:tcPr>
            <w:tcW w:type="dxa" w:w="5112"/>
          </w:tcPr>
          <w:p>
            <w:r>
              <w:t>Two extra rows beyond one copy, not three extra rows</w:t>
            </w:r>
          </w:p>
        </w:tc>
      </w:tr>
      <w:tr>
        <w:tc>
          <w:tcPr>
            <w:tcW w:type="dxa" w:w="5112"/>
          </w:tcPr>
          <w:p>
            <w:r>
              <w:t>Source IDs differ</w:t>
            </w:r>
          </w:p>
        </w:tc>
        <w:tc>
          <w:tcPr>
            <w:tcW w:type="dxa" w:w="5112"/>
          </w:tcPr>
          <w:p>
            <w:r>
              <w:t>Identity distinction does not prove sampling independence</w:t>
            </w:r>
          </w:p>
        </w:tc>
      </w:tr>
      <w:tr>
        <w:tc>
          <w:tcPr>
            <w:tcW w:type="dxa" w:w="5112"/>
          </w:tcPr>
          <w:p>
            <w:r>
              <w:t>No outcome labels supplied per source</w:t>
            </w:r>
          </w:p>
        </w:tc>
        <w:tc>
          <w:tcPr>
            <w:tcW w:type="dxa" w:w="5112"/>
          </w:tcPr>
          <w:p>
            <w:r>
              <w:t>Do not calculate an invented deduplicated accuracy</w:t>
            </w:r>
          </w:p>
        </w:tc>
      </w:tr>
      <w:tr>
        <w:tc>
          <w:tcPr>
            <w:tcW w:type="dxa" w:w="5112"/>
          </w:tcPr>
          <w:p>
            <w:r>
              <w:t>Exclude duplicates after inspecting outcomes</w:t>
            </w:r>
          </w:p>
        </w:tc>
        <w:tc>
          <w:tcPr>
            <w:tcW w:type="dxa" w:w="5112"/>
          </w:tcPr>
          <w:p>
            <w:r>
              <w:t>Disclose analysis change; preserve original results and declared unit rule</w:t>
            </w:r>
          </w:p>
        </w:tc>
      </w:tr>
      <w:tr>
        <w:tc>
          <w:tcPr>
            <w:tcW w:type="dxa" w:w="5112"/>
          </w:tcPr>
          <w:p>
            <w:r>
              <w:t>No outdoor cases</w:t>
            </w:r>
          </w:p>
        </w:tc>
        <w:tc>
          <w:tcPr>
            <w:tcW w:type="dxa" w:w="5112"/>
          </w:tcPr>
          <w:p>
            <w:r>
              <w:t>Unknown performance, not zero accuracy</w:t>
            </w:r>
          </w:p>
        </w:tc>
      </w:tr>
      <w:tr>
        <w:tc>
          <w:tcPr>
            <w:tcW w:type="dxa" w:w="5112"/>
          </w:tcPr>
          <w:p>
            <w:r>
              <w:t>Outdoor 2/4 and pooled 11/14</w:t>
            </w:r>
          </w:p>
        </w:tc>
        <w:tc>
          <w:tcPr>
            <w:tcW w:type="dxa" w:w="5112"/>
          </w:tcPr>
          <w:p>
            <w:r>
              <w:t>Different denominators and target descriptions</w:t>
            </w:r>
          </w:p>
        </w:tc>
      </w:tr>
      <w:tr>
        <w:tc>
          <w:tcPr>
            <w:tcW w:type="dxa" w:w="5112"/>
          </w:tcPr>
          <w:p>
            <w:r>
              <w:t>High indoor result</w:t>
            </w:r>
          </w:p>
        </w:tc>
        <w:tc>
          <w:tcPr>
            <w:tcW w:type="dxa" w:w="5112"/>
          </w:tcPr>
          <w:p>
            <w:r>
              <w:t>No automatic outdoor-fitness conclusion</w:t>
            </w:r>
          </w:p>
        </w:tc>
      </w:tr>
      <w:tr>
        <w:tc>
          <w:tcPr>
            <w:tcW w:type="dxa" w:w="5112"/>
          </w:tcPr>
          <w:p>
            <w:r>
              <w:t>Observed slice difference</w:t>
            </w:r>
          </w:p>
        </w:tc>
        <w:tc>
          <w:tcPr>
            <w:tcW w:type="dxa" w:w="5112"/>
          </w:tcPr>
          <w:p>
            <w:r>
              <w:t>Does not by itself establish cause or significance</w:t>
            </w:r>
          </w:p>
        </w:tc>
      </w:tr>
    </w:tbl>
    <w:p>
      <w:pPr>
        <w:pStyle w:val="Heading2"/>
      </w:pPr>
      <w:r>
        <w:t>Write a supported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Benchmark success does not establish performance on a deployment population missing from its design.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identifying units and missing settings</w:t>
      </w:r>
    </w:p>
    <w:p>
      <w:r>
        <w:t>Reserve the twelve-row source arrangement for a first independent attempt.</w:t>
      </w:r>
    </w:p>
    <w:p>
      <w:pPr>
        <w:pStyle w:val="Heading2"/>
      </w:pPr>
      <w:r>
        <w:t>Shared explanation</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workbook trace</w:t>
      </w:r>
    </w:p>
    <w:p>
      <w:pPr>
        <w:spacing w:line="336" w:lineRule="auto" w:after="180"/>
      </w:pPr>
      <w:r>
        <w:rPr>
          <w:b w:val="0"/>
        </w:rPr>
        <w:t xml:space="preserve">Use workbook W2 for the connected example “Dataset and </w:t>
      </w:r>
      <w:r>
        <w:rPr>
          <w:b/>
        </w:rPr>
        <w:t>benchmark</w:t>
      </w:r>
      <w:r>
        <w:rPr>
          <w:b w:val="0"/>
        </w:rPr>
        <w:t xml:space="preserve"> limitations”.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check</w:t>
      </w:r>
    </w:p>
    <w:p>
      <w:pPr>
        <w:pStyle w:val="ListBullet"/>
      </w:pPr>
      <w:r>
        <w:t>Use the worked case for Dataset and benchmark limitations.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Report the indoor benchmark with its denominator and missing condition. After two correct outdoor cases out of four are added, what slice rate is supported and what remains uncertain?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selected source-count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a complete metadata and coverage audit</w:t>
      </w:r>
    </w:p>
    <w:p>
      <w:r>
        <w:t>Distinguish counted identities from verified sampling properties.</w:t>
      </w:r>
    </w:p>
    <w:p>
      <w:pPr>
        <w:pStyle w:val="Heading2"/>
      </w:pPr>
      <w:r>
        <w:t>Current investigation</w:t>
      </w:r>
    </w:p>
    <w:p>
      <w:pPr>
        <w:spacing w:line="336" w:lineRule="auto" w:after="180"/>
      </w:pPr>
      <w:r>
        <w:rPr>
          <w:b w:val="0"/>
        </w:rPr>
        <w:t xml:space="preserve">Ten </w:t>
      </w:r>
      <w:r>
        <w:rPr>
          <w:b/>
        </w:rPr>
        <w:t>benchmark</w:t>
      </w:r>
      <w:r>
        <w:rPr>
          <w:b w:val="0"/>
        </w:rPr>
        <w:t xml:space="preserve"> rows include three copies of one source and seven other unique sources. Show the intermediate steps and give the conclusion with its scope.</w:t>
      </w:r>
    </w:p>
    <w:p>
      <w:pPr>
        <w:pStyle w:val="Heading2"/>
      </w:pPr>
      <w:r>
        <w:t>Complete executable audit</w:t>
      </w:r>
    </w:p>
    <w:p>
      <w:r>
        <w:rPr>
          <w:rFonts w:ascii="Courier New" w:hAnsi="Courier New"/>
          <w:sz w:val="18"/>
        </w:rPr>
        <w:t>"""Source-identity and coverage audit on explicitly fictional metadata/summaries."""</w:t>
        <w:br/>
        <w:t>from collections import Counter</w:t>
        <w:br/>
        <w:t>from fractions import Fraction</w:t>
        <w:br/>
        <w:br/>
        <w:t>def audit_sources(rows):</w:t>
        <w:br/>
        <w:t xml:space="preserve"> if not isinstance(rows,(list,tuple)) or not rows:raise ValueError('nonempty records required')</w:t>
        <w:br/>
        <w:t xml:space="preserve"> if any(not isinstance(r,dict) or not isinstance(r.get('row_id'),str) or not r['row_id'] or not isinstance(r.get('source_id'),str) or not r['source_id'] for r in rows):raise ValueError('row and source IDs required')</w:t>
        <w:br/>
        <w:t xml:space="preserve"> if len({r['row_id'] for r in rows})!=len(rows):raise ValueError('row IDs must be unique')</w:t>
        <w:br/>
        <w:t xml:space="preserve"> counts=Counter(r['source_id'] for r in rows)</w:t>
        <w:br/>
        <w:t xml:space="preserve"> return {'rows':len(rows),'unique_source_ids':len(counts),'source_weights':dict(counts),</w:t>
        <w:br/>
        <w:t xml:space="preserve">         'extra_rows_beyond_one_per_source':len(rows)-len(counts)}</w:t>
        <w:br/>
        <w:t># Metadata construction illustrates the stated three-copy/eight-source arrangement.</w:t>
        <w:br/>
        <w:t>rows=[{'row_id':f'R{i+1}','source_id':s} for i,s in enumerate(['S1','S1','S1','S2','S3','S4','S5','S6','S7','S8'])]</w:t>
        <w:br/>
        <w:t>before=[r.copy() for r in rows];main=audit_sources(rows)</w:t>
        <w:br/>
        <w:t>assert main['rows']==10 and main['unique_source_ids']==8 and main['source_weights']['S1']==3</w:t>
        <w:br/>
        <w:t>assert main['extra_rows_beyond_one_per_source']==2 and rows==before</w:t>
        <w:br/>
        <w:t>indoor=Fraction(9,10);outdoor_initial=None;outdoor_added=Fraction(2,4)</w:t>
        <w:br/>
        <w:t>pooled_changed=Fraction(9+2,10+4)</w:t>
        <w:br/>
        <w:t>assert indoor==Fraction(9,10) and outdoor_added==Fraction(1,2) and pooled_changed==Fraction(11,14)</w:t>
        <w:br/>
        <w:t>print('Supplied-source metadata arrangement:',main)</w:t>
        <w:br/>
        <w:t>print('Indoor supplied rate:',indoor,'initial outdoor rate:',outdoor_initial)</w:t>
        <w:br/>
        <w:t>print('Changed supplied outdoor slice:',outdoor_added,'pooled descriptive count:',pooled_changed)</w:t>
        <w:br/>
        <w:t>print('Do not substitute the pooled 11/14 for outdoor 2/4, or call unmeasured outdoor performance zero.')</w:t>
        <w:br/>
        <w:t>print('IDs distinguish declared source identities; they cannot prove independent sampling, eligibility or correct labels. No rows are silently deleted, no outcomes per source invented, and no real photo collection/model evaluation occurs.')</w:t>
        <w:br/>
      </w:r>
    </w:p>
    <w:p>
      <w:pPr>
        <w:pStyle w:val="Heading2"/>
      </w:pPr>
      <w:r>
        <w:t>Expected counts and limits</w:t>
      </w:r>
    </w:p>
    <w:p>
      <w:pPr>
        <w:pStyle w:val="ListNumber"/>
      </w:pPr>
      <w:r>
        <w:t>Predict the eight distinct source IDs, the repeated source’s three-row weight and the two extra rows. The code audits illustrative metadata matching the supplied arrangement without deleting records. It computes separate indoor, added-outdoor and pooled rates, keeping initial outdoor performance unknown. IDs cannot verify independent sampling or correct labels, and no per-source outcome is supplied for a deduplicated accuracy. This local arithmetic does not collect photos or evaluate a model. Keep the independent twelve-row arrangement for a first attempt.</w:t>
      </w:r>
    </w:p>
    <w:p>
      <w:pPr>
        <w:pStyle w:val="Heading2"/>
      </w:pPr>
      <w:r>
        <w:t>Evidence record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count source units in twelve rows</w:t>
      </w:r>
    </w:p>
    <w:p>
      <w:r>
        <w:t>State one coverage concern without inventing the missing evidence.</w:t>
      </w:r>
    </w:p>
    <w:p>
      <w:pPr>
        <w:pStyle w:val="Heading2"/>
      </w:pPr>
      <w:r>
        <w:t>Independent source arrangement</w:t>
      </w:r>
    </w:p>
    <w:p>
      <w:pPr>
        <w:spacing w:line="336" w:lineRule="auto" w:after="180"/>
      </w:pPr>
      <w:r>
        <w:rPr>
          <w:b w:val="0"/>
        </w:rPr>
        <w:t>Twelve rows include four copies of one source and eight others. Count unique units and name one coverage concern.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Twelve rows include four copies of one source and eight others. Count unique units and name one coverage concern.</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row identities, source grouping and unassessed settings</w:t>
      </w:r>
    </w:p>
    <w:p>
      <w:r>
        <w:t>Retain original records and explain exclusions before interpreting a score.</w:t>
      </w:r>
    </w:p>
    <w:p>
      <w:pPr>
        <w:pStyle w:val="Heading2"/>
      </w:pPr>
      <w:r>
        <w:t>Project and artifact</w:t>
      </w:r>
    </w:p>
    <w:p>
      <w:pPr>
        <w:spacing w:line="336" w:lineRule="auto" w:after="180"/>
      </w:pPr>
      <w:r>
        <w:rPr>
          <w:b w:val="0"/>
        </w:rPr>
        <w:t xml:space="preserve">Add a labelled dataset and </w:t>
      </w:r>
      <w:r>
        <w:rPr>
          <w:b/>
        </w:rPr>
        <w:t>benchmark</w:t>
      </w:r>
      <w:r>
        <w:rPr>
          <w:b w:val="0"/>
        </w:rPr>
        <w:t xml:space="preserve"> limitations </w:t>
      </w:r>
      <w:r>
        <w:rPr>
          <w:b/>
        </w:rPr>
        <w:t>evidence</w:t>
      </w:r>
      <w:r>
        <w:rPr>
          <w:b w:val="0"/>
        </w:rPr>
        <w:t xml:space="preserve"> sheet to Reproducible AI Research Study. Show how you can explain the </w:t>
      </w:r>
      <w:r>
        <w:rPr>
          <w:b/>
        </w:rPr>
        <w:t>mechanism</w:t>
      </w:r>
      <w:r>
        <w:rPr>
          <w:b w:val="0"/>
        </w:rPr>
        <w:t xml:space="preserve"> and terminology of dataset and </w:t>
      </w:r>
      <w:r>
        <w:rPr>
          <w:b/>
        </w:rPr>
        <w:t>benchmark</w:t>
      </w:r>
      <w:r>
        <w:rPr>
          <w:b w:val="0"/>
        </w:rPr>
        <w:t xml:space="preserve"> limitations.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local calculation or paper trace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Explain what a benchmark measured and what it missed</w:t>
      </w:r>
    </w:p>
    <w:p>
      <w:r>
        <w:t>Identity, labels, sampling and coverage remain separate checks.</w:t>
      </w:r>
    </w:p>
    <w:p>
      <w:pPr>
        <w:pStyle w:val="Heading2"/>
      </w:pPr>
      <w:r>
        <w:t>Retrieve and explain</w:t>
      </w:r>
    </w:p>
    <w:p>
      <w:pPr>
        <w:pStyle w:val="ListBullet"/>
      </w:pPr>
      <w:r>
        <w:t>Close your notes. Explain this goal in your own words: Explain the mechanism and terminology of dataset and benchmark limitations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Benchmark</w:t>
            </w:r>
          </w:p>
        </w:tc>
        <w:tc>
          <w:tcPr>
            <w:tcW w:type="dxa" w:w="5112"/>
          </w:tcPr>
          <w:p>
            <w:r>
              <w:t>A declared task dataset and scoring procedure</w:t>
            </w:r>
          </w:p>
        </w:tc>
      </w:tr>
      <w:tr>
        <w:tc>
          <w:tcPr>
            <w:tcW w:type="dxa" w:w="5112"/>
          </w:tcPr>
          <w:p>
            <w:r>
              <w:t>Duplicate unit</w:t>
            </w:r>
          </w:p>
        </w:tc>
        <w:tc>
          <w:tcPr>
            <w:tcW w:type="dxa" w:w="5112"/>
          </w:tcPr>
          <w:p>
            <w:r>
              <w:t>Repeated representation of the same underlying entity</w:t>
            </w:r>
          </w:p>
        </w:tc>
      </w:tr>
      <w:tr>
        <w:tc>
          <w:tcPr>
            <w:tcW w:type="dxa" w:w="5112"/>
          </w:tcPr>
          <w:p>
            <w:r>
              <w:t>Coverage gap</w:t>
            </w:r>
          </w:p>
        </w:tc>
        <w:tc>
          <w:tcPr>
            <w:tcW w:type="dxa" w:w="5112"/>
          </w:tcPr>
          <w:p>
            <w:r>
              <w:t>A relevant condition absent from evaluated data</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Benchmark success does not establish performance on a deployment population missing from its design.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Dataset and benchmark limitations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Ten benchmark rows include three copies of one source and seven other unique sources.</w:t>
            </w:r>
          </w:p>
        </w:tc>
        <w:tc>
          <w:tcPr>
            <w:tcW w:type="dxa" w:w="3408"/>
          </w:tcPr>
          <w:p>
            <w:r>
              <w:t>Inspect eligibility, source dates, related units and label definitions before scoring. Deduplicate by declared unit identity, not merely file name; report excluded and unassessed cases.</w:t>
            </w:r>
          </w:p>
        </w:tc>
        <w:tc>
          <w:tcPr>
            <w:tcW w:type="dxa" w:w="3408"/>
          </w:tcPr>
          <w:p>
            <w:r>
              <w:t>Eight unique source units, not ten independent sources. Identify duplicate weighting before analysis; do not silently discard results.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A </w:t>
      </w:r>
      <w:r>
        <w:rPr>
          <w:b/>
        </w:rPr>
        <w:t>benchmark</w:t>
      </w:r>
      <w:r>
        <w:rPr>
          <w:b w:val="0"/>
        </w:rPr>
        <w:t xml:space="preserve"> can miss the intended setting. A plant model is evaluated on clean indoor photos but proposed for shaded outdoor photos.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dataset and benchmark limitations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A benchmark can miss the intended setting. A plant model is evaluated on clean indoor photos but proposed for shaded outdoor photos.</w:t>
      </w:r>
    </w:p>
    <w:p>
      <w:pPr>
        <w:pStyle w:val="Heading3"/>
      </w:pPr>
      <w:r>
        <w:t>Practice 1: explain the deciding evidence</w:t>
      </w:r>
    </w:p>
    <w:p>
      <w:pPr>
        <w:pStyle w:val="ListBullet"/>
      </w:pPr>
      <w:r>
        <w:t>Which labelled step matches this detail? Outdoor shade performance remains unmeasured.</w:t>
      </w:r>
    </w:p>
    <w:p>
      <w:pPr>
        <w:pStyle w:val="ListBullet"/>
      </w:pPr>
      <w:r>
        <w:t>1. Report the result</w:t>
      </w:r>
    </w:p>
    <w:p>
      <w:pPr>
        <w:pStyle w:val="ListBullet"/>
      </w:pPr>
      <w:r>
        <w:t>2. Name measured setting</w:t>
      </w:r>
    </w:p>
    <w:p>
      <w:pPr>
        <w:pStyle w:val="ListBullet"/>
      </w:pPr>
      <w:r>
        <w:t>3. Name missing evidence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Name missing </w:t>
      </w:r>
      <w:r>
        <w:rPr>
          <w:b/>
        </w:rPr>
        <w:t>evidence</w:t>
      </w:r>
      <w:r>
        <w:rPr>
          <w:b w:val="0"/>
        </w:rPr>
        <w:t xml:space="preserve"> Outdoor shade performance remains unmeasured. A </w:t>
      </w:r>
      <w:r>
        <w:rPr>
          <w:b/>
        </w:rPr>
        <w:t>benchmark</w:t>
      </w:r>
      <w:r>
        <w:rPr>
          <w:b w:val="0"/>
        </w:rPr>
        <w:t xml:space="preserve"> represents particular tasks and collection conditions.</w:t>
      </w:r>
    </w:p>
    <w:p>
      <w:pPr>
        <w:spacing w:line="336" w:lineRule="auto" w:after="180"/>
      </w:pPr>
      <w:r>
        <w:rPr>
          <w:b w:val="0"/>
        </w:rPr>
        <w:t>High performance on it cannot automatically establish fitness for a different deployment setting.</w:t>
      </w:r>
    </w:p>
    <w:p>
      <w:pPr>
        <w:pStyle w:val="Heading2"/>
      </w:pPr>
      <w:r>
        <w:t>Changed-case question and optional hint</w:t>
      </w:r>
    </w:p>
    <w:p>
      <w:pPr>
        <w:pStyle w:val="Heading3"/>
      </w:pPr>
      <w:r>
        <w:t>Practice 2: explain the deciding evidence</w:t>
      </w:r>
    </w:p>
    <w:p>
      <w:pPr>
        <w:pStyle w:val="ListBullet"/>
      </w:pPr>
      <w:r>
        <w:t>Changed-case practice: Add four reserved outdoor cases, of which two are correct. Which conclusion is supported by the supplied facts?</w:t>
      </w:r>
    </w:p>
    <w:p>
      <w:pPr>
        <w:pStyle w:val="ListBullet"/>
      </w:pPr>
      <w:r>
        <w:t>1. Report the outdoor slice as 2/4=50%, separately from indoor results.</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Report the outdoor slice as 2/4=50%, separately from indoor results. The new records finally measure the missing condition, with a small denominator.</w:t>
      </w:r>
    </w:p>
    <w:p>
      <w:pPr>
        <w:pStyle w:val="Heading2"/>
      </w:pPr>
      <w:r>
        <w:t>Repair and retain the record</w:t>
      </w:r>
    </w:p>
    <w:p>
      <w:pPr>
        <w:spacing w:line="336" w:lineRule="auto" w:after="180"/>
      </w:pPr>
      <w:r>
        <w:rPr>
          <w:b w:val="0"/>
        </w:rPr>
        <w:t xml:space="preserve">Review Sensitivity analysis (ai-7/17). Goal: Explain the </w:t>
      </w:r>
      <w:r>
        <w:rPr>
          <w:b/>
        </w:rPr>
        <w:t>mechanism</w:t>
      </w:r>
      <w:r>
        <w:rPr>
          <w:b w:val="0"/>
        </w:rPr>
        <w:t xml:space="preserve"> and terminology of sensitivity analysis. Short practice: Classify 0.4, 0.6 and 0.8 at cutoffs 0.5, 0.7 and exactly 0.6.</w:t>
      </w:r>
    </w:p>
    <w:p>
      <w:pPr>
        <w:spacing w:line="336" w:lineRule="auto" w:after="180"/>
      </w:pPr>
      <w:r>
        <w:rPr>
          <w:b w:val="0"/>
        </w:rPr>
        <w:t>Which equality rule decides the boundary, and can these unlabelled scores identify the best cutoff?. Return to this week and explain what you changed.</w:t>
      </w:r>
    </w:p>
    <w:p>
      <w:pPr>
        <w:spacing w:line="336" w:lineRule="auto" w:after="180"/>
      </w:pPr>
      <w:r>
        <w:rPr>
          <w:b w:val="0"/>
        </w:rPr>
        <w:t xml:space="preserve">Review Multiple comparisons (ai-7/15). Goal: Explain the </w:t>
      </w:r>
      <w:r>
        <w:rPr>
          <w:b/>
        </w:rPr>
        <w:t>mechanism</w:t>
      </w:r>
      <w:r>
        <w:rPr>
          <w:b w:val="0"/>
        </w:rPr>
        <w:t xml:space="preserve"> and terminology of multiple comparisons. Short practice: Calculate the six-test cutoff and identify which supplied p-values reject.</w:t>
      </w:r>
    </w:p>
    <w:p>
      <w:pPr>
        <w:spacing w:line="336" w:lineRule="auto" w:after="180"/>
      </w:pPr>
      <w:r>
        <w:rPr>
          <w:b w:val="0"/>
        </w:rPr>
        <w:t>Why must the team count every planned comparison rather than report only its smallest p-value?. Return to this week and explain what you changed.</w:t>
      </w:r>
    </w:p>
    <w:p>
      <w:pPr>
        <w:spacing w:line="336" w:lineRule="auto" w:after="180"/>
      </w:pPr>
      <w:r>
        <w:rPr>
          <w:b w:val="0"/>
        </w:rPr>
        <w:t xml:space="preserve">Review Uncertainty intervals (ai-7/12). Goal: Explain the </w:t>
      </w:r>
      <w:r>
        <w:rPr>
          <w:b/>
        </w:rPr>
        <w:t>mechanism</w:t>
      </w:r>
      <w:r>
        <w:rPr>
          <w:b w:val="0"/>
        </w:rPr>
        <w:t xml:space="preserve"> and terminology of uncertainty intervals. Short practice: Locate -0.8 and zero relative to the supplied interval [-1.4,-0.2].</w:t>
      </w:r>
    </w:p>
    <w:p>
      <w:pPr>
        <w:spacing w:line="336" w:lineRule="auto" w:after="180"/>
      </w:pPr>
      <w:r>
        <w:rPr>
          <w:b w:val="0"/>
        </w:rPr>
        <w:t>Interpret the sign and confidence-method meaning, then describe what changes with interval [-1.4,0.3]..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Dataset and benchmark limitations: the case</w:t>
      </w:r>
    </w:p>
    <w:p>
      <w:r>
        <w:drawing>
          <wp:inline xmlns:a="http://schemas.openxmlformats.org/drawingml/2006/main" xmlns:pic="http://schemas.openxmlformats.org/drawingml/2006/picture">
            <wp:extent cx="5486400" cy="2834640"/>
            <wp:docPr id="6" name="Picture 6" descr="A benchmark can miss the intended setting. A plant model is evaluated on clean indoor photos but proposed for shaded outdoor photos. Supplied facts: Indoor benchmark: 9/10 correct. No outdoor cases are present. The same model is intended for both."/>
            <wp:cNvGraphicFramePr>
              <a:graphicFrameLocks noChangeAspect="1"/>
            </wp:cNvGraphicFramePr>
            <a:graphic>
              <a:graphicData uri="http://schemas.openxmlformats.org/drawingml/2006/picture">
                <pic:pic>
                  <pic:nvPicPr>
                    <pic:cNvPr id="0" name="academy-story-ai-7-18-01.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benchmark</w:t>
      </w:r>
      <w:r>
        <w:rPr>
          <w:b w:val="0"/>
        </w:rPr>
        <w:t xml:space="preserve"> can miss the intended setting. A plant model is evaluated on clean indoor photos but proposed for shaded outdoor photos. Supplied facts: Indoor </w:t>
      </w:r>
      <w:r>
        <w:rPr>
          <w:b/>
        </w:rPr>
        <w:t>benchmark</w:t>
      </w:r>
      <w:r>
        <w:rPr>
          <w:b w:val="0"/>
        </w:rPr>
        <w:t>: 9/10 correct. No outdoor cases are present.</w:t>
      </w:r>
    </w:p>
    <w:p>
      <w:pPr>
        <w:spacing w:line="336" w:lineRule="auto" w:after="180"/>
      </w:pPr>
      <w:r>
        <w:rPr>
          <w:b w:val="0"/>
        </w:rPr>
        <w:t>The same model is intended for both.</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7" name="Picture 7" descr="Name measured setting: All ten benchmark images are clean indoor photos. → Report the result: The observed indoor score is 90%. → Name missing evidence: Outdoor shade performance remains unmeasured."/>
            <wp:cNvGraphicFramePr>
              <a:graphicFrameLocks noChangeAspect="1"/>
            </wp:cNvGraphicFramePr>
            <a:graphic>
              <a:graphicData uri="http://schemas.openxmlformats.org/drawingml/2006/picture">
                <pic:pic>
                  <pic:nvPicPr>
                    <pic:cNvPr id="0" name="academy-story-ai-7-18-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Name measured setting: All ten </w:t>
      </w:r>
      <w:r>
        <w:rPr>
          <w:b/>
        </w:rPr>
        <w:t>benchmark</w:t>
      </w:r>
      <w:r>
        <w:rPr>
          <w:b w:val="0"/>
        </w:rPr>
        <w:t xml:space="preserve"> images are clean indoor photos. → Report the result: The observed indoor score is 90%. → Name missing </w:t>
      </w:r>
      <w:r>
        <w:rPr>
          <w:b/>
        </w:rPr>
        <w:t>evidence</w:t>
      </w:r>
      <w:r>
        <w:rPr>
          <w:b w:val="0"/>
        </w:rPr>
        <w:t>: Outdoor shade performance remains unmeasured.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Benchmark conditions</w:t>
      </w:r>
    </w:p>
    <w:p>
      <w:r>
        <w:drawing>
          <wp:inline xmlns:a="http://schemas.openxmlformats.org/drawingml/2006/main" xmlns:pic="http://schemas.openxmlformats.org/drawingml/2006/picture">
            <wp:extent cx="5486400" cy="3096768"/>
            <wp:docPr id="8" name="Picture 8" descr="Benchmark conditions. Indoor benchmark: Correct = 9, Total = 10. Added outdoor slice: Correct = 2, Total = 4."/>
            <wp:cNvGraphicFramePr>
              <a:graphicFrameLocks noChangeAspect="1"/>
            </wp:cNvGraphicFramePr>
            <a:graphic>
              <a:graphicData uri="http://schemas.openxmlformats.org/drawingml/2006/picture">
                <pic:pic>
                  <pic:nvPicPr>
                    <pic:cNvPr id="0" name="academy-story-ai-7-18-03.png"/>
                    <pic:cNvPicPr/>
                  </pic:nvPicPr>
                  <pic:blipFill>
                    <a:blip r:embed="rId15"/>
                    <a:stretch>
                      <a:fillRect/>
                    </a:stretch>
                  </pic:blipFill>
                  <pic:spPr>
                    <a:xfrm>
                      <a:off x="0" y="0"/>
                      <a:ext cx="5486400" cy="3096768"/>
                    </a:xfrm>
                    <a:prstGeom prst="rect"/>
                  </pic:spPr>
                </pic:pic>
              </a:graphicData>
            </a:graphic>
          </wp:inline>
        </w:drawing>
      </w:r>
    </w:p>
    <w:p>
      <w:pPr>
        <w:spacing w:line="336" w:lineRule="auto" w:after="180"/>
      </w:pPr>
      <w:r>
        <w:rPr>
          <w:b/>
        </w:rPr>
        <w:t>Benchmark</w:t>
      </w:r>
      <w:r>
        <w:rPr>
          <w:b w:val="0"/>
        </w:rPr>
        <w:t xml:space="preserve"> conditions. Indoor </w:t>
      </w:r>
      <w:r>
        <w:rPr>
          <w:b/>
        </w:rPr>
        <w:t>benchmark</w:t>
      </w:r>
      <w:r>
        <w:rPr>
          <w:b w:val="0"/>
        </w:rPr>
        <w:t>: Correct = 9, Total = 10. Added outdoor slice: Correct = 2, Total = 4.</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9" name="Picture 9" descr="Original case: Outdoor shade performance remains unmeasured. Changed condition: Add four reserved outdoor cases, of which two are correct. Expected result: Report the outdoor slice as 2/4=50%, separately from indoor results. Reason: The new records finally measure the missing condition, with a small denominator."/>
            <wp:cNvGraphicFramePr>
              <a:graphicFrameLocks noChangeAspect="1"/>
            </wp:cNvGraphicFramePr>
            <a:graphic>
              <a:graphicData uri="http://schemas.openxmlformats.org/drawingml/2006/picture">
                <pic:pic>
                  <pic:nvPicPr>
                    <pic:cNvPr id="0" name="academy-story-ai-7-18-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Original case: Outdoor shade performance remains unmeasured. Changed condition: Add four reserved outdoor cases, of which two are correct. Expected result: Report the outdoor slice as 2/4=50%, separately from indoor results.</w:t>
      </w:r>
    </w:p>
    <w:p>
      <w:pPr>
        <w:spacing w:line="336" w:lineRule="auto" w:after="180"/>
      </w:pPr>
      <w:r>
        <w:rPr>
          <w:b w:val="0"/>
        </w:rPr>
        <w:t>Reason: The new records finally measure the missing condition, with a small denominator.</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A benchmark represents particular tasks and collection conditions. High performance on it cannot automatically establish fitness for a different deployment setting. Limit: Neither slice estimates all future photos; inspect sampling, labels and grouping."/>
            <wp:cNvGraphicFramePr>
              <a:graphicFrameLocks noChangeAspect="1"/>
            </wp:cNvGraphicFramePr>
            <a:graphic>
              <a:graphicData uri="http://schemas.openxmlformats.org/drawingml/2006/picture">
                <pic:pic>
                  <pic:nvPicPr>
                    <pic:cNvPr id="0" name="academy-story-ai-7-18-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benchmark</w:t>
      </w:r>
      <w:r>
        <w:rPr>
          <w:b w:val="0"/>
        </w:rPr>
        <w:t xml:space="preserve"> represents particular tasks and collection conditions. High performance on it cannot automatically establish fitness for a different deployment setting.</w:t>
      </w:r>
    </w:p>
    <w:p>
      <w:pPr>
        <w:spacing w:line="336" w:lineRule="auto" w:after="180"/>
      </w:pPr>
      <w:r>
        <w:rPr>
          <w:b w:val="0"/>
        </w:rPr>
        <w:t>Limit: Neither slice estimates all future photos; inspect sampling, labels and grouping.</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Report the indoor benchmark with its denominator and missing condition. After two correct outdoor cases out of four are added, what slice rate is supported and what remains uncertain?"/>
            <wp:cNvGraphicFramePr>
              <a:graphicFrameLocks noChangeAspect="1"/>
            </wp:cNvGraphicFramePr>
            <a:graphic>
              <a:graphicData uri="http://schemas.openxmlformats.org/drawingml/2006/picture">
                <pic:pic>
                  <pic:nvPicPr>
                    <pic:cNvPr id="0" name="academy-story-ai-7-18-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Report the indoor </w:t>
      </w:r>
      <w:r>
        <w:rPr>
          <w:b/>
        </w:rPr>
        <w:t>benchmark</w:t>
      </w:r>
      <w:r>
        <w:rPr>
          <w:b w:val="0"/>
        </w:rPr>
        <w:t xml:space="preserve"> with its denominator and missing condition.</w:t>
      </w:r>
    </w:p>
    <w:p>
      <w:pPr>
        <w:spacing w:line="336" w:lineRule="auto" w:after="180"/>
      </w:pPr>
      <w:r>
        <w:rPr>
          <w:b w:val="0"/>
        </w:rPr>
        <w:t>After two correct outdoor cases out of four are added, what slice rate is supported and what remains uncertain?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Dataset and benchmark limitations: the case</w:t>
      </w:r>
    </w:p>
    <w:p>
      <w:pPr>
        <w:pStyle w:val="Heading3"/>
      </w:pPr>
      <w:r>
        <w:t>02. Follow the deciding steps</w:t>
      </w:r>
    </w:p>
    <w:p>
      <w:pPr>
        <w:pStyle w:val="Heading3"/>
      </w:pPr>
      <w:r>
        <w:t>03. Benchmark conditions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