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ai-7/20</w:t>
      </w:r>
    </w:p>
    <w:p>
      <w:pPr>
        <w:pStyle w:val="Title"/>
      </w:pPr>
      <w:r>
        <w:t>Privacy and data governance</w:t>
      </w:r>
    </w:p>
    <w:p>
      <w:r>
        <w:t>Project: Reproducible AI Research Study</w:t>
      </w:r>
    </w:p>
    <w:p>
      <w:pPr>
        <w:pStyle w:val="Heading1"/>
      </w:pPr>
      <w:r>
        <w:t>Name the purpose. Limit the fields. Trace the readers.</w:t>
      </w:r>
    </w:p>
    <w:p>
      <w:r>
        <w:t>Audit fictional governance plans without confusing codes, metadata checks and privacy guarantees.</w:t>
      </w:r>
    </w:p>
    <w:p>
      <w:r>
        <w:t>Purpose contract → field ledger → native key-separation diagram → control-evidence probes → plan audit → independent subgroup rule.</w:t>
      </w:r>
    </w:p>
    <w:p>
      <w:pPr>
        <w:pStyle w:val="Heading1"/>
      </w:pPr>
      <w:r>
        <w:t>01. Follow purpose, fields, readers and retention through a data plan</w:t>
      </w:r>
    </w:p>
    <w:p>
      <w:r>
        <w:t>Removing names is not the same as establishing anonymity.</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privacy and </w:t>
      </w:r>
      <w:r>
        <w:rPr>
          <w:b/>
        </w:rPr>
        <w:t>data governance</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permission, source identity and evidence boundaries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Research ethics and consent. Give an example and a mistake that the idea helps you avoid.</w:t>
      </w:r>
    </w:p>
    <w:p>
      <w:pPr>
        <w:spacing w:line="336" w:lineRule="auto" w:after="180"/>
      </w:pPr>
      <w:r>
        <w:rPr>
          <w:b w:val="0"/>
        </w:rPr>
        <w:t>Without opening the old lesson, explain one key idea from Sensitivity analysis. Give an example and a mistake that the idea helps you avoid.</w:t>
      </w:r>
    </w:p>
    <w:p>
      <w:pPr>
        <w:spacing w:line="336" w:lineRule="auto" w:after="180"/>
      </w:pPr>
      <w:r>
        <w:rPr>
          <w:b w:val="0"/>
        </w:rPr>
        <w:t>Without opening the old lesson, explain one key idea from Statistical tests and assumptions.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response</w:t>
      </w:r>
    </w:p>
    <w:p>
      <w:pPr>
        <w:pStyle w:val="ListBullet"/>
      </w:pPr>
      <w:r>
        <w:t>Recall Research ethics and consent.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privacy and </w:t>
      </w:r>
      <w:r>
        <w:rPr>
          <w:b/>
        </w:rPr>
        <w:t>data governance</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privacy and </w:t>
      </w:r>
      <w:r>
        <w:rPr>
          <w:b/>
        </w:rPr>
        <w:t>data governance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Audit the complete data flow rather than the presence of names</w:t>
      </w:r>
    </w:p>
    <w:p>
      <w:r>
        <w:t>Separate purpose limitation, field minimization and verified protection.</w:t>
      </w:r>
    </w:p>
    <w:p>
      <w:pPr>
        <w:pStyle w:val="Heading2"/>
      </w:pPr>
      <w:r>
        <w:t>Begin with an identifying combination</w:t>
      </w:r>
    </w:p>
    <w:p>
      <w:pPr>
        <w:spacing w:line="336" w:lineRule="auto" w:after="180"/>
      </w:pPr>
      <w:r>
        <w:rPr>
          <w:b w:val="0"/>
        </w:rPr>
        <w:t>Imagine an export without names that still contains exact birth date, classroom and a rare condition. A reader who knows those details may recognize someone. Governance asks why each field is needed, who can read each table, how records can be linked and when they should be removed. In this fictional exercise, audit the declared plan rather than handling personal records.</w:t>
      </w:r>
    </w:p>
    <w:p>
      <w:pPr>
        <w:spacing w:line="336" w:lineRule="auto" w:after="180"/>
      </w:pPr>
      <w:r>
        <w:rPr>
          <w:b w:val="0"/>
        </w:rPr>
        <w:t>A clear plan is not evidence that technical restrictions or deletion have been implemented.</w:t>
      </w:r>
    </w:p>
    <w:p>
      <w:pPr>
        <w:pStyle w:val="Heading2"/>
      </w:pPr>
      <w:r>
        <w:t>Original governance explanation</w:t>
      </w:r>
    </w:p>
    <w:p>
      <w:pPr>
        <w:spacing w:line="336" w:lineRule="auto" w:after="180"/>
      </w:pPr>
      <w:r>
        <w:rPr>
          <w:b/>
        </w:rPr>
        <w:t>Data governance</w:t>
      </w:r>
      <w:r>
        <w:rPr>
          <w:b w:val="0"/>
        </w:rPr>
        <w:t xml:space="preserve"> specifies who may use which records, for what purpose and for how long. Coded data can still be reidentifiable.</w:t>
      </w:r>
    </w:p>
    <w:p>
      <w:pPr>
        <w:pStyle w:val="Heading2"/>
      </w:pPr>
      <w:r>
        <w:t>Full declared-purpose and access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Governance item</w:t>
            </w:r>
          </w:p>
        </w:tc>
        <w:tc>
          <w:tcPr>
            <w:tcW w:type="dxa" w:w="5112"/>
          </w:tcPr>
          <w:p>
            <w:r>
              <w:t>Complete fictional exercise contract</w:t>
            </w:r>
          </w:p>
        </w:tc>
      </w:tr>
      <w:tr>
        <w:tc>
          <w:tcPr>
            <w:tcW w:type="dxa" w:w="5112"/>
          </w:tcPr>
          <w:p>
            <w:r>
              <w:t>Named purpose</w:t>
            </w:r>
          </w:p>
        </w:tc>
        <w:tc>
          <w:tcPr>
            <w:tcW w:type="dxa" w:w="5112"/>
          </w:tcPr>
          <w:p>
            <w:r>
              <w:t>Task-score analysis using fictional records</w:t>
            </w:r>
          </w:p>
        </w:tc>
      </w:tr>
      <w:tr>
        <w:tc>
          <w:tcPr>
            <w:tcW w:type="dxa" w:w="5112"/>
          </w:tcPr>
          <w:p>
            <w:r>
              <w:t>Analysis fields needed in the picture</w:t>
            </w:r>
          </w:p>
        </w:tc>
        <w:tc>
          <w:tcPr>
            <w:tcW w:type="dxa" w:w="5112"/>
          </w:tcPr>
          <w:p>
            <w:r>
              <w:t>Random participant code and task score</w:t>
            </w:r>
          </w:p>
        </w:tc>
      </w:tr>
      <w:tr>
        <w:tc>
          <w:tcPr>
            <w:tcW w:type="dxa" w:w="5112"/>
          </w:tcPr>
          <w:p>
            <w:r>
              <w:t>Unnecessary main-export details</w:t>
            </w:r>
          </w:p>
        </w:tc>
        <w:tc>
          <w:tcPr>
            <w:tcW w:type="dxa" w:w="5112"/>
          </w:tcPr>
          <w:p>
            <w:r>
              <w:t>Exact birth date, classroom and rare condition are not needed for this toy purpose</w:t>
            </w:r>
          </w:p>
        </w:tc>
      </w:tr>
      <w:tr>
        <w:tc>
          <w:tcPr>
            <w:tcW w:type="dxa" w:w="5112"/>
          </w:tcPr>
          <w:p>
            <w:r>
              <w:t>Separate key</w:t>
            </w:r>
          </w:p>
        </w:tc>
        <w:tc>
          <w:tcPr>
            <w:tcW w:type="dxa" w:w="5112"/>
          </w:tcPr>
          <w:p>
            <w:r>
              <w:t>Code-to-identity link; restricted withdrawal role only</w:t>
            </w:r>
          </w:p>
        </w:tc>
      </w:tr>
      <w:tr>
        <w:tc>
          <w:tcPr>
            <w:tcW w:type="dxa" w:w="5112"/>
          </w:tcPr>
          <w:p>
            <w:r>
              <w:t>Analyst role</w:t>
            </w:r>
          </w:p>
        </w:tc>
        <w:tc>
          <w:tcPr>
            <w:tcW w:type="dxa" w:w="5112"/>
          </w:tcPr>
          <w:p>
            <w:r>
              <w:t>Reads analysis values, not the identity key under this design</w:t>
            </w:r>
          </w:p>
        </w:tc>
      </w:tr>
      <w:tr>
        <w:tc>
          <w:tcPr>
            <w:tcW w:type="dxa" w:w="5112"/>
          </w:tcPr>
          <w:p>
            <w:r>
              <w:t>Public output in the proposed repair</w:t>
            </w:r>
          </w:p>
        </w:tc>
        <w:tc>
          <w:tcPr>
            <w:tcW w:type="dxa" w:w="5112"/>
          </w:tcPr>
          <w:p>
            <w:r>
              <w:t>No row-level public output; any later aggregate needs its own disclosure check</w:t>
            </w:r>
          </w:p>
        </w:tc>
      </w:tr>
      <w:tr>
        <w:tc>
          <w:tcPr>
            <w:tcW w:type="dxa" w:w="5112"/>
          </w:tcPr>
          <w:p>
            <w:r>
              <w:t>Retention in the proposed repair</w:t>
            </w:r>
          </w:p>
        </w:tc>
        <w:tc>
          <w:tcPr>
            <w:tcW w:type="dxa" w:w="5112"/>
          </w:tcPr>
          <w:p>
            <w:r>
              <w:t>Demo plan: delete analysis and key at exercise end; this is a proposal, not executed deletion</w:t>
            </w:r>
          </w:p>
        </w:tc>
      </w:tr>
      <w:tr>
        <w:tc>
          <w:tcPr>
            <w:tcW w:type="dxa" w:w="5112"/>
          </w:tcPr>
          <w:p>
            <w:r>
              <w:t>Subgroup policy for the independent case</w:t>
            </w:r>
          </w:p>
        </w:tc>
        <w:tc>
          <w:tcPr>
            <w:tcW w:type="dxa" w:w="5112"/>
          </w:tcPr>
          <w:p>
            <w:r>
              <w:t>Do not report groups smaller than five</w:t>
            </w:r>
          </w:p>
        </w:tc>
      </w:tr>
      <w:tr>
        <w:tc>
          <w:tcPr>
            <w:tcW w:type="dxa" w:w="5112"/>
          </w:tcPr>
          <w:p>
            <w:r>
              <w:t>Evidence limit</w:t>
            </w:r>
          </w:p>
        </w:tc>
        <w:tc>
          <w:tcPr>
            <w:tcW w:type="dxa" w:w="5112"/>
          </w:tcPr>
          <w:p>
            <w:r>
              <w:t>Metadata checks do not prove anonymity, actual access control, consent or safe export</w:t>
            </w:r>
          </w:p>
        </w:tc>
      </w:tr>
    </w:tbl>
    <w:p>
      <w:pPr>
        <w:pStyle w:val="Heading2"/>
      </w:pPr>
      <w:r>
        <w:t>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how an unnamed record can remain linkable</w:t>
      </w:r>
    </w:p>
    <w:p>
      <w:r>
        <w:t>A field-by-field audit precedes any proposed export.</w:t>
      </w:r>
    </w:p>
    <w:p>
      <w:pPr>
        <w:pStyle w:val="Heading2"/>
      </w:pPr>
      <w:r>
        <w:t>Original minimization and separation procedure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p>
      <w:pPr>
        <w:pStyle w:val="Heading2"/>
      </w:pPr>
      <w:r>
        <w:t>Complete main-field audit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export field</w:t>
            </w:r>
          </w:p>
        </w:tc>
        <w:tc>
          <w:tcPr>
            <w:tcW w:type="dxa" w:w="3408"/>
          </w:tcPr>
          <w:p>
            <w:r>
              <w:t>Reason for concern</w:t>
            </w:r>
          </w:p>
        </w:tc>
        <w:tc>
          <w:tcPr>
            <w:tcW w:type="dxa" w:w="3408"/>
          </w:tcPr>
          <w:p>
            <w:r>
              <w:t>Toy-purpose action</w:t>
            </w:r>
          </w:p>
        </w:tc>
      </w:tr>
      <w:tr>
        <w:tc>
          <w:tcPr>
            <w:tcW w:type="dxa" w:w="3408"/>
          </w:tcPr>
          <w:p>
            <w:r>
              <w:t>Coded ID</w:t>
            </w:r>
          </w:p>
        </w:tc>
        <w:tc>
          <w:tcPr>
            <w:tcW w:type="dxa" w:w="3408"/>
          </w:tcPr>
          <w:p>
            <w:r>
              <w:t>May link to other records or a key</w:t>
            </w:r>
          </w:p>
        </w:tc>
        <w:tc>
          <w:tcPr>
            <w:tcW w:type="dxa" w:w="3408"/>
          </w:tcPr>
          <w:p>
            <w:r>
              <w:t>Restrict under the declared role plan</w:t>
            </w:r>
          </w:p>
        </w:tc>
      </w:tr>
      <w:tr>
        <w:tc>
          <w:tcPr>
            <w:tcW w:type="dxa" w:w="3408"/>
          </w:tcPr>
          <w:p>
            <w:r>
              <w:t>Exact birth date</w:t>
            </w:r>
          </w:p>
        </w:tc>
        <w:tc>
          <w:tcPr>
            <w:tcW w:type="dxa" w:w="3408"/>
          </w:tcPr>
          <w:p>
            <w:r>
              <w:t>Detailed identifying combination</w:t>
            </w:r>
          </w:p>
        </w:tc>
        <w:tc>
          <w:tcPr>
            <w:tcW w:type="dxa" w:w="3408"/>
          </w:tcPr>
          <w:p>
            <w:r>
              <w:t>Remove from the task-score analysis proposal</w:t>
            </w:r>
          </w:p>
        </w:tc>
      </w:tr>
      <w:tr>
        <w:tc>
          <w:tcPr>
            <w:tcW w:type="dxa" w:w="3408"/>
          </w:tcPr>
          <w:p>
            <w:r>
              <w:t>Classroom</w:t>
            </w:r>
          </w:p>
        </w:tc>
        <w:tc>
          <w:tcPr>
            <w:tcW w:type="dxa" w:w="3408"/>
          </w:tcPr>
          <w:p>
            <w:r>
              <w:t>Narrows the possible people</w:t>
            </w:r>
          </w:p>
        </w:tc>
        <w:tc>
          <w:tcPr>
            <w:tcW w:type="dxa" w:w="3408"/>
          </w:tcPr>
          <w:p>
            <w:r>
              <w:t>Remove unnecessary detail</w:t>
            </w:r>
          </w:p>
        </w:tc>
      </w:tr>
      <w:tr>
        <w:tc>
          <w:tcPr>
            <w:tcW w:type="dxa" w:w="3408"/>
          </w:tcPr>
          <w:p>
            <w:r>
              <w:t>Rare condition</w:t>
            </w:r>
          </w:p>
        </w:tc>
        <w:tc>
          <w:tcPr>
            <w:tcW w:type="dxa" w:w="3408"/>
          </w:tcPr>
          <w:p>
            <w:r>
              <w:t>Can identify through unusual combinations</w:t>
            </w:r>
          </w:p>
        </w:tc>
        <w:tc>
          <w:tcPr>
            <w:tcW w:type="dxa" w:w="3408"/>
          </w:tcPr>
          <w:p>
            <w:r>
              <w:t>Remove from this toy-purpose proposal</w:t>
            </w:r>
          </w:p>
        </w:tc>
      </w:tr>
      <w:tr>
        <w:tc>
          <w:tcPr>
            <w:tcW w:type="dxa" w:w="3408"/>
          </w:tcPr>
          <w:p>
            <w:r>
              <w:t>No names in export</w:t>
            </w:r>
          </w:p>
        </w:tc>
        <w:tc>
          <w:tcPr>
            <w:tcW w:type="dxa" w:w="3408"/>
          </w:tcPr>
          <w:p>
            <w:r>
              <w:t>Does not remove all linkage routes</w:t>
            </w:r>
          </w:p>
        </w:tc>
        <w:tc>
          <w:tcPr>
            <w:tcW w:type="dxa" w:w="3408"/>
          </w:tcPr>
          <w:p>
            <w:r>
              <w:t>Do not label it guaranteed anonymous</w:t>
            </w:r>
          </w:p>
        </w:tc>
      </w:tr>
      <w:tr>
        <w:tc>
          <w:tcPr>
            <w:tcW w:type="dxa" w:w="3408"/>
          </w:tcPr>
          <w:p>
            <w:r>
              <w:t>Missing readers/retention evidence</w:t>
            </w:r>
          </w:p>
        </w:tc>
        <w:tc>
          <w:tcPr>
            <w:tcW w:type="dxa" w:w="3408"/>
          </w:tcPr>
          <w:p>
            <w:r>
              <w:t>Plan alone does not prove controls</w:t>
            </w:r>
          </w:p>
        </w:tc>
        <w:tc>
          <w:tcPr>
            <w:tcW w:type="dxa" w:w="3408"/>
          </w:tcPr>
          <w:p>
            <w:r>
              <w:t>Record unresolved checks; do not claim actual protection</w:t>
            </w:r>
          </w:p>
        </w:tc>
      </w:tr>
    </w:tbl>
    <w:p>
      <w:pPr>
        <w:pStyle w:val="Heading2"/>
      </w:pPr>
      <w:r>
        <w:t>Preserve scope and explain the visual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Privacy and data governance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Export has coded ID, exact birth date, classroom and rare condition. Team calls it anonymous because names are removed.</w:t>
            </w:r>
          </w:p>
        </w:tc>
        <w:tc>
          <w:tcPr>
            <w:tcW w:type="dxa" w:w="3408"/>
          </w:tcPr>
          <w:p>
            <w:r>
              <w:t>For fictional records separate participant-code table from analysis values; limit access and retention. Remove unnecessary fields and small-group details before a permitted aggregate export.</w:t>
            </w:r>
          </w:p>
        </w:tc>
        <w:tc>
          <w:tcPr>
            <w:tcW w:type="dxa" w:w="3408"/>
          </w:tcPr>
          <w:p>
            <w:r>
              <w:t>The combination can remain identifying; coded is not necessarily anonymous. Minimise fields and assess disclosure under the declared policy.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publishing the identity key with the analysis</w:t>
      </w:r>
    </w:p>
    <w:p>
      <w:r>
        <w:t>The change breaks the stated separation design.</w:t>
      </w:r>
    </w:p>
    <w:p>
      <w:pPr>
        <w:pStyle w:val="Heading2"/>
      </w:pPr>
      <w:r>
        <w:t>Main task and response</w:t>
      </w:r>
    </w:p>
    <w:p>
      <w:pPr>
        <w:pStyle w:val="ListBullet"/>
      </w:pPr>
      <w:r>
        <w:t>Export has coded ID, exact birth date, classroom and rare condition. Team calls it anonymous because names are removed.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changed key access</w:t>
      </w:r>
    </w:p>
    <w:p>
      <w:pPr>
        <w:pStyle w:val="ListBullet"/>
      </w:pPr>
      <w:r>
        <w:t>Change: Publish the identity key with the analysis table.</w:t>
      </w:r>
    </w:p>
    <w:p>
      <w:pPr>
        <w:pStyle w:val="Heading2"/>
      </w:pPr>
      <w:r>
        <w:t>Check after predicting · reference / check after trying</w:t>
      </w:r>
    </w:p>
    <w:p>
      <w:pPr>
        <w:spacing w:line="336" w:lineRule="auto" w:after="180"/>
      </w:pPr>
      <w:r>
        <w:rPr>
          <w:b/>
        </w:rPr>
        <w:t>Prediction</w:t>
      </w:r>
      <w:r>
        <w:rPr>
          <w:b w:val="0"/>
        </w:rPr>
        <w:t>: The records become directly linkable to names and breach this access design.</w:t>
      </w:r>
    </w:p>
    <w:p>
      <w:pPr>
        <w:spacing w:line="336" w:lineRule="auto" w:after="180"/>
      </w:pPr>
      <w:r>
        <w:rPr>
          <w:b w:val="0"/>
        </w:rPr>
        <w:t>Reason: Separation only helps while the linkage key remains restricted.</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linking key, allowed readers and retention together</w:t>
      </w:r>
    </w:p>
    <w:p>
      <w:r>
        <w:t>A separate file is useful only when its access design is respected.</w:t>
      </w:r>
    </w:p>
    <w:p>
      <w:pPr>
        <w:pStyle w:val="Heading2"/>
      </w:pPr>
      <w:r>
        <w:t>Main coded-export claim and checked result</w:t>
      </w:r>
    </w:p>
    <w:p>
      <w:pPr>
        <w:spacing w:line="336" w:lineRule="auto" w:after="180"/>
      </w:pPr>
      <w:r>
        <w:rPr>
          <w:b w:val="0"/>
        </w:rPr>
        <w:t>Export has coded ID, exact birth date, classroom and rare condition. Team calls it anonymous because names are removed.</w:t>
      </w:r>
    </w:p>
    <w:p>
      <w:pPr>
        <w:spacing w:line="336" w:lineRule="auto" w:after="180"/>
      </w:pPr>
      <w:r>
        <w:rPr>
          <w:b w:val="0"/>
        </w:rPr>
        <w:t>The combination can remain identifying; coded is not necessarily anonymous. Minimise fields and assess disclosure under the declared policy.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code/key facts and limits</w:t>
      </w:r>
    </w:p>
    <w:p>
      <w:pPr>
        <w:spacing w:line="336" w:lineRule="auto" w:after="180"/>
      </w:pPr>
      <w:r>
        <w:rPr>
          <w:b w:val="0"/>
        </w:rPr>
        <w:t>Govern data by purpose and access. A fictional project needs task scores and random participant codes, but not names.</w:t>
      </w:r>
    </w:p>
    <w:p>
      <w:pPr>
        <w:spacing w:line="336" w:lineRule="auto" w:after="180"/>
      </w:pPr>
      <w:r>
        <w:rPr>
          <w:b w:val="0"/>
        </w:rPr>
        <w:t>The analysis table holds codes and scores. A separate restricted key links codes to names only for authorised withdrawal handling.</w:t>
      </w:r>
    </w:p>
    <w:p>
      <w:pPr>
        <w:spacing w:line="336" w:lineRule="auto" w:after="180"/>
      </w:pPr>
      <w:r>
        <w:rPr>
          <w:b w:val="0"/>
        </w:rPr>
        <w:t>The separate picture keeps participant codes and task scores in the analysis table. A restricted key maps those codes to identities for the stated withdrawal purpose. That link is why the records are pseudonymous rather than guaranteed anonymous. The separation reduces routine exposure only if readers actually have the declared restrictions.</w:t>
      </w:r>
    </w:p>
    <w:p>
      <w:pPr>
        <w:spacing w:line="336" w:lineRule="auto" w:after="180"/>
      </w:pPr>
      <w:r>
        <w:rPr>
          <w:b w:val="0"/>
        </w:rPr>
        <w:t>Publishing the key alongside the analysis makes code-based linking straightforward and breaks this design. Even with a restricted key, unusual values or small groups may disclose identity through other information. No actual identity lookup, access-control enforcement or deletion is performed here.</w:t>
      </w:r>
    </w:p>
    <w:p>
      <w:pPr>
        <w:pStyle w:val="Heading2"/>
      </w:pPr>
      <w:r>
        <w:t>See the native linking diagram</w:t>
      </w:r>
    </w:p>
    <w:p>
      <w:r>
        <w:drawing>
          <wp:inline xmlns:a="http://schemas.openxmlformats.org/drawingml/2006/main" xmlns:pic="http://schemas.openxmlformats.org/drawingml/2006/picture">
            <wp:extent cx="5486400" cy="3029913"/>
            <wp:docPr id="1" name="Picture 1" descr="The fictional analysis table maps participant codes to scores and is readable by the analyst role. A separate restricted identity key maps the same codes to identities for authorized withdrawal handling. Shared codes make joining possible if the key is available. Publishing both breaks the declared separation. Coded data is not guaranteed anonymous."/>
            <wp:cNvGraphicFramePr>
              <a:graphicFrameLocks noChangeAspect="1"/>
            </wp:cNvGraphicFramePr>
            <a:graphic>
              <a:graphicData uri="http://schemas.openxmlformats.org/drawingml/2006/picture">
                <pic:pic>
                  <pic:nvPicPr>
                    <pic:cNvPr id="0" name="ai-7-20-key-separation.png"/>
                    <pic:cNvPicPr/>
                  </pic:nvPicPr>
                  <pic:blipFill>
                    <a:blip r:embed="rId9"/>
                    <a:stretch>
                      <a:fillRect/>
                    </a:stretch>
                  </pic:blipFill>
                  <pic:spPr>
                    <a:xfrm>
                      <a:off x="0" y="0"/>
                      <a:ext cx="5486400" cy="3029913"/>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Separate tables: Keep analysis records apart from the identity key. → Limit access: Analysts receive scores and codes, not the name linkage. → Define retention: Apply the approved deletion schedule to both stores and listed copies."/>
            <wp:cNvGraphicFramePr>
              <a:graphicFrameLocks noChangeAspect="1"/>
            </wp:cNvGraphicFramePr>
            <a:graphic>
              <a:graphicData uri="http://schemas.openxmlformats.org/drawingml/2006/picture">
                <pic:pic>
                  <pic:nvPicPr>
                    <pic:cNvPr id="0" name="academy-story-ai-7-20-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tables</w:t>
            </w:r>
          </w:p>
        </w:tc>
        <w:tc>
          <w:tcPr>
            <w:tcW w:type="dxa" w:w="5112"/>
          </w:tcPr>
          <w:p>
            <w:r>
              <w:t>Keep analysis records apart from the identity key.</w:t>
            </w:r>
          </w:p>
        </w:tc>
      </w:tr>
      <w:tr>
        <w:tc>
          <w:tcPr>
            <w:tcW w:type="dxa" w:w="5112"/>
          </w:tcPr>
          <w:p>
            <w:r>
              <w:t>2. Limit access</w:t>
            </w:r>
          </w:p>
        </w:tc>
        <w:tc>
          <w:tcPr>
            <w:tcW w:type="dxa" w:w="5112"/>
          </w:tcPr>
          <w:p>
            <w:r>
              <w:t>Analysts receive scores and codes, not the name linkage.</w:t>
            </w:r>
          </w:p>
        </w:tc>
      </w:tr>
      <w:tr>
        <w:tc>
          <w:tcPr>
            <w:tcW w:type="dxa" w:w="5112"/>
          </w:tcPr>
          <w:p>
            <w:r>
              <w:t>3. Define retention</w:t>
            </w:r>
          </w:p>
        </w:tc>
        <w:tc>
          <w:tcPr>
            <w:tcW w:type="dxa" w:w="5112"/>
          </w:tcPr>
          <w:p>
            <w:r>
              <w:t>Apply the approved deletion schedule to both stores and listed copies.</w:t>
            </w:r>
          </w:p>
        </w:tc>
      </w:tr>
    </w:tbl>
    <w:p>
      <w:r>
        <w:t>Match each pictured step to the supplied facts. This is a worked teaching case, not an independent assessment.</w:t>
      </w:r>
    </w:p>
    <w:p>
      <w:pPr>
        <w:spacing w:line="336" w:lineRule="auto" w:after="180"/>
      </w:pPr>
      <w:r>
        <w:rPr>
          <w:b/>
        </w:rPr>
        <w:t>Pseudonym</w:t>
      </w:r>
      <w:r>
        <w:rPr>
          <w:b w:val="0"/>
        </w:rPr>
        <w:t>ous codes reduce routine exposure but are not the same as irreversible anonymity. Governance specifies purpose, readers, locations and retention.</w:t>
      </w:r>
    </w:p>
    <w:p>
      <w:pPr>
        <w:pStyle w:val="Heading2"/>
      </w:pPr>
      <w:r>
        <w:t>Complete role and protection-evidence audit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Table or operation</w:t>
            </w:r>
          </w:p>
        </w:tc>
        <w:tc>
          <w:tcPr>
            <w:tcW w:type="dxa" w:w="3408"/>
          </w:tcPr>
          <w:p>
            <w:r>
              <w:t>Declared permitted role/use</w:t>
            </w:r>
          </w:p>
        </w:tc>
        <w:tc>
          <w:tcPr>
            <w:tcW w:type="dxa" w:w="3408"/>
          </w:tcPr>
          <w:p>
            <w:r>
              <w:t>What the audit cannot assume</w:t>
            </w:r>
          </w:p>
        </w:tc>
      </w:tr>
      <w:tr>
        <w:tc>
          <w:tcPr>
            <w:tcW w:type="dxa" w:w="3408"/>
          </w:tcPr>
          <w:p>
            <w:r>
              <w:t>Analysis code + score</w:t>
            </w:r>
          </w:p>
        </w:tc>
        <w:tc>
          <w:tcPr>
            <w:tcW w:type="dxa" w:w="3408"/>
          </w:tcPr>
          <w:p>
            <w:r>
              <w:t>Analyst for the named task-score purpose</w:t>
            </w:r>
          </w:p>
        </w:tc>
        <w:tc>
          <w:tcPr>
            <w:tcW w:type="dxa" w:w="3408"/>
          </w:tcPr>
          <w:p>
            <w:r>
              <w:t>Codes are not proof of anonymity</w:t>
            </w:r>
          </w:p>
        </w:tc>
      </w:tr>
      <w:tr>
        <w:tc>
          <w:tcPr>
            <w:tcW w:type="dxa" w:w="3408"/>
          </w:tcPr>
          <w:p>
            <w:r>
              <w:t>Identity key</w:t>
            </w:r>
          </w:p>
        </w:tc>
        <w:tc>
          <w:tcPr>
            <w:tcW w:type="dxa" w:w="3408"/>
          </w:tcPr>
          <w:p>
            <w:r>
              <w:t>Restricted withdrawal role</w:t>
            </w:r>
          </w:p>
        </w:tc>
        <w:tc>
          <w:tcPr>
            <w:tcW w:type="dxa" w:w="3408"/>
          </w:tcPr>
          <w:p>
            <w:r>
              <w:t>A table label does not enforce permissions</w:t>
            </w:r>
          </w:p>
        </w:tc>
      </w:tr>
      <w:tr>
        <w:tc>
          <w:tcPr>
            <w:tcW w:type="dxa" w:w="3408"/>
          </w:tcPr>
          <w:p>
            <w:r>
              <w:t>Combine key and analysis publicly</w:t>
            </w:r>
          </w:p>
        </w:tc>
        <w:tc>
          <w:tcPr>
            <w:tcW w:type="dxa" w:w="3408"/>
          </w:tcPr>
          <w:p>
            <w:r>
              <w:t>Outside this design</w:t>
            </w:r>
          </w:p>
        </w:tc>
        <w:tc>
          <w:tcPr>
            <w:tcW w:type="dxa" w:w="3408"/>
          </w:tcPr>
          <w:p>
            <w:r>
              <w:t>Do not treat the result as deidentified</w:t>
            </w:r>
          </w:p>
        </w:tc>
      </w:tr>
      <w:tr>
        <w:tc>
          <w:tcPr>
            <w:tcW w:type="dxa" w:w="3408"/>
          </w:tcPr>
          <w:p>
            <w:r>
              <w:t>End-of-exercise deletion plan</w:t>
            </w:r>
          </w:p>
        </w:tc>
        <w:tc>
          <w:tcPr>
            <w:tcW w:type="dxa" w:w="3408"/>
          </w:tcPr>
          <w:p>
            <w:r>
              <w:t>Proposed retention action</w:t>
            </w:r>
          </w:p>
        </w:tc>
        <w:tc>
          <w:tcPr>
            <w:tcW w:type="dxa" w:w="3408"/>
          </w:tcPr>
          <w:p>
            <w:r>
              <w:t>Not evidence deletion has occurred</w:t>
            </w:r>
          </w:p>
        </w:tc>
      </w:tr>
      <w:tr>
        <w:tc>
          <w:tcPr>
            <w:tcW w:type="dxa" w:w="3408"/>
          </w:tcPr>
          <w:p>
            <w:r>
              <w:t>Subgroup count below five</w:t>
            </w:r>
          </w:p>
        </w:tc>
        <w:tc>
          <w:tcPr>
            <w:tcW w:type="dxa" w:w="3408"/>
          </w:tcPr>
          <w:p>
            <w:r>
              <w:t>Blocked by supplied policy</w:t>
            </w:r>
          </w:p>
        </w:tc>
        <w:tc>
          <w:tcPr>
            <w:tcW w:type="dxa" w:w="3408"/>
          </w:tcPr>
          <w:p>
            <w:r>
              <w:t>Changing the threshold after seeing outcomes is not compliance</w:t>
            </w:r>
          </w:p>
        </w:tc>
      </w:tr>
      <w:tr>
        <w:tc>
          <w:tcPr>
            <w:tcW w:type="dxa" w:w="3408"/>
          </w:tcPr>
          <w:p>
            <w:r>
              <w:t>Subgroup count equals five</w:t>
            </w:r>
          </w:p>
        </w:tc>
        <w:tc>
          <w:tcPr>
            <w:tcW w:type="dxa" w:w="3408"/>
          </w:tcPr>
          <w:p>
            <w:r>
              <w:t>Meets this size rule only</w:t>
            </w:r>
          </w:p>
        </w:tc>
        <w:tc>
          <w:tcPr>
            <w:tcW w:type="dxa" w:w="3408"/>
          </w:tcPr>
          <w:p>
            <w:r>
              <w:t>Not a general privacy or export guarantee</w:t>
            </w:r>
          </w:p>
        </w:tc>
      </w:tr>
    </w:tbl>
    <w:p>
      <w:pPr>
        <w:pStyle w:val="Heading2"/>
      </w:pPr>
      <w:r>
        <w:t>Predict publishing the key</w:t>
      </w:r>
    </w:p>
    <w:p>
      <w:pPr>
        <w:pStyle w:val="ListBullet"/>
      </w:pPr>
      <w:r>
        <w:t>Change one thing: Publish the identity key with the analysis table.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Apply the approved deletion schedule to both stores and listed copies. Changed condition: Publish the identity key with the analysis table. Expected result: The records become directly linkable to names and breach this access design. Reason: Separation only helps while the linkage key remains restricted."/>
            <wp:cNvGraphicFramePr>
              <a:graphicFrameLocks noChangeAspect="1"/>
            </wp:cNvGraphicFramePr>
            <a:graphic>
              <a:graphicData uri="http://schemas.openxmlformats.org/drawingml/2006/picture">
                <pic:pic>
                  <pic:nvPicPr>
                    <pic:cNvPr id="0" name="academy-story-ai-7-20-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remaining linkage risks</w:t>
      </w:r>
    </w:p>
    <w:p>
      <w:pPr>
        <w:pStyle w:val="ListBullet"/>
      </w:pPr>
      <w:r>
        <w:t>Small groups or unusual records may still be identifiable without names; evaluate re-identification risk.</w:t>
      </w:r>
    </w:p>
    <w:p>
      <w:pPr>
        <w:pStyle w:val="ListBullet"/>
      </w:pPr>
      <w:r>
        <w:t>Read the labelled picture: Point to the analysis table and the restricted identity key. Why are the codes pseudonymous rather than guaranteed anonymous, and what changes if the key is published?</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Privacy and data governance</w:t>
      </w:r>
    </w:p>
    <w:p>
      <w:pPr>
        <w:pStyle w:val="Heading3"/>
      </w:pPr>
      <w:r>
        <w:t>The facts we will use</w:t>
      </w:r>
    </w:p>
    <w:p>
      <w:r>
        <w:drawing>
          <wp:inline xmlns:a="http://schemas.openxmlformats.org/drawingml/2006/main" xmlns:pic="http://schemas.openxmlformats.org/drawingml/2006/picture">
            <wp:extent cx="5486400" cy="5185229"/>
            <wp:docPr id="4" name="Picture 4" descr="Privacy and data governance. Separate tables: Keep analysis records apart from the identity key.. Limit access: Analysts receive scores and codes, not the name linkage.. Define retention: Apply the approved deletion schedule to both stores and listed copies."/>
            <wp:cNvGraphicFramePr>
              <a:graphicFrameLocks noChangeAspect="1"/>
            </wp:cNvGraphicFramePr>
            <a:graphic>
              <a:graphicData uri="http://schemas.openxmlformats.org/drawingml/2006/picture">
                <pic:pic>
                  <pic:nvPicPr>
                    <pic:cNvPr id="0" name="academy-visual-ai-7-20.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anonymity claims and single-rule privacy shortcuts</w:t>
      </w:r>
    </w:p>
    <w:p>
      <w:r>
        <w:t>A proposed control needs implementation evidence and context.</w:t>
      </w:r>
    </w:p>
    <w:p>
      <w:pPr>
        <w:pStyle w:val="Heading2"/>
      </w:pPr>
      <w:r>
        <w:t>Original qualification and repair setup</w:t>
      </w:r>
    </w:p>
    <w:p>
      <w:pPr>
        <w:spacing w:line="336" w:lineRule="auto" w:after="180"/>
      </w:pPr>
      <w:r>
        <w:rPr>
          <w:b w:val="0"/>
        </w:rPr>
        <w:t>A size threshold or coding scheme alone does not guarantee privacy.</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access, retention and size-rule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Governance probe</w:t>
            </w:r>
          </w:p>
        </w:tc>
        <w:tc>
          <w:tcPr>
            <w:tcW w:type="dxa" w:w="5112"/>
          </w:tcPr>
          <w:p>
            <w:r>
              <w:t>Checked interpretation</w:t>
            </w:r>
          </w:p>
        </w:tc>
      </w:tr>
      <w:tr>
        <w:tc>
          <w:tcPr>
            <w:tcW w:type="dxa" w:w="5112"/>
          </w:tcPr>
          <w:p>
            <w:r>
              <w:t>Names removed</w:t>
            </w:r>
          </w:p>
        </w:tc>
        <w:tc>
          <w:tcPr>
            <w:tcW w:type="dxa" w:w="5112"/>
          </w:tcPr>
          <w:p>
            <w:r>
              <w:t>Other fields may still identify people</w:t>
            </w:r>
          </w:p>
        </w:tc>
      </w:tr>
      <w:tr>
        <w:tc>
          <w:tcPr>
            <w:tcW w:type="dxa" w:w="5112"/>
          </w:tcPr>
          <w:p>
            <w:r>
              <w:t>Random codes used</w:t>
            </w:r>
          </w:p>
        </w:tc>
        <w:tc>
          <w:tcPr>
            <w:tcW w:type="dxa" w:w="5112"/>
          </w:tcPr>
          <w:p>
            <w:r>
              <w:t>Key or external information can allow linkage</w:t>
            </w:r>
          </w:p>
        </w:tc>
      </w:tr>
      <w:tr>
        <w:tc>
          <w:tcPr>
            <w:tcW w:type="dxa" w:w="5112"/>
          </w:tcPr>
          <w:p>
            <w:r>
              <w:t>Key is in another file</w:t>
            </w:r>
          </w:p>
        </w:tc>
        <w:tc>
          <w:tcPr>
            <w:tcW w:type="dxa" w:w="5112"/>
          </w:tcPr>
          <w:p>
            <w:r>
              <w:t>File separation does not prove reader restrictions</w:t>
            </w:r>
          </w:p>
        </w:tc>
      </w:tr>
      <w:tr>
        <w:tc>
          <w:tcPr>
            <w:tcW w:type="dxa" w:w="5112"/>
          </w:tcPr>
          <w:p>
            <w:r>
              <w:t>Metadata audit returns no listed issues</w:t>
            </w:r>
          </w:p>
        </w:tc>
        <w:tc>
          <w:tcPr>
            <w:tcW w:type="dxa" w:w="5112"/>
          </w:tcPr>
          <w:p>
            <w:r>
              <w:t>Not actual permission, anonymity or disclosure clearance</w:t>
            </w:r>
          </w:p>
        </w:tc>
      </w:tr>
      <w:tr>
        <w:tc>
          <w:tcPr>
            <w:tcW w:type="dxa" w:w="5112"/>
          </w:tcPr>
          <w:p>
            <w:r>
              <w:t>Retention action written down</w:t>
            </w:r>
          </w:p>
        </w:tc>
        <w:tc>
          <w:tcPr>
            <w:tcW w:type="dxa" w:w="5112"/>
          </w:tcPr>
          <w:p>
            <w:r>
              <w:t>Not proof of deletion</w:t>
            </w:r>
          </w:p>
        </w:tc>
      </w:tr>
      <w:tr>
        <w:tc>
          <w:tcPr>
            <w:tcW w:type="dxa" w:w="5112"/>
          </w:tcPr>
          <w:p>
            <w:r>
              <w:t>One-member subgroup under minimum-five policy</w:t>
            </w:r>
          </w:p>
        </w:tc>
        <w:tc>
          <w:tcPr>
            <w:tcW w:type="dxa" w:w="5112"/>
          </w:tcPr>
          <w:p>
            <w:r>
              <w:t>Do not publish the subgroup</w:t>
            </w:r>
          </w:p>
        </w:tc>
      </w:tr>
      <w:tr>
        <w:tc>
          <w:tcPr>
            <w:tcW w:type="dxa" w:w="5112"/>
          </w:tcPr>
          <w:p>
            <w:r>
              <w:t>Five-member subgroup</w:t>
            </w:r>
          </w:p>
        </w:tc>
        <w:tc>
          <w:tcPr>
            <w:tcW w:type="dxa" w:w="5112"/>
          </w:tcPr>
          <w:p>
            <w:r>
              <w:t>Meets only the stated size rule; other risks remain</w:t>
            </w:r>
          </w:p>
        </w:tc>
      </w:tr>
      <w:tr>
        <w:tc>
          <w:tcPr>
            <w:tcW w:type="dxa" w:w="5112"/>
          </w:tcPr>
          <w:p>
            <w:r>
              <w:t>Merge or suppress categories</w:t>
            </w:r>
          </w:p>
        </w:tc>
        <w:tc>
          <w:tcPr>
            <w:tcW w:type="dxa" w:w="5112"/>
          </w:tcPr>
          <w:p>
            <w:r>
              <w:t>Check permitted purpose and whether totals reveal the suppressed cell</w:t>
            </w:r>
          </w:p>
        </w:tc>
      </w:tr>
      <w:tr>
        <w:tc>
          <w:tcPr>
            <w:tcW w:type="dxa" w:w="5112"/>
          </w:tcPr>
          <w:p>
            <w:r>
              <w:t>Fictional example is well designed</w:t>
            </w:r>
          </w:p>
        </w:tc>
        <w:tc>
          <w:tcPr>
            <w:tcW w:type="dxa" w:w="5112"/>
          </w:tcPr>
          <w:p>
            <w:r>
              <w:t>Does not authorize a real export</w:t>
            </w:r>
          </w:p>
        </w:tc>
      </w:tr>
    </w:tbl>
    <w:p>
      <w:pPr>
        <w:pStyle w:val="Heading2"/>
      </w:pPr>
      <w:r>
        <w:t>Write a justified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size threshold or coding scheme alone does not guarantee privacy.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checking a declared plan without using personal records</w:t>
      </w:r>
    </w:p>
    <w:p>
      <w:r>
        <w:t>Reserve the one-person subgroup scenario for the first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 xml:space="preserve">Use workbook W2 for the connected example “Privacy and </w:t>
      </w:r>
      <w:r>
        <w:rPr>
          <w:b/>
        </w:rPr>
        <w:t>data governance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check</w:t>
      </w:r>
    </w:p>
    <w:p>
      <w:pPr>
        <w:pStyle w:val="ListBullet"/>
      </w:pPr>
      <w:r>
        <w:t>Use the worked case for Privacy and data governance.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Point to the analysis table and the restricted identity key. Why are the codes pseudonymous rather than guaranteed anonymous, and what changes if the key is published?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selected subgroup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declared-plan audit with explicit limits</w:t>
      </w:r>
    </w:p>
    <w:p>
      <w:r>
        <w:t>Check metadata without pretending a real protection system exists.</w:t>
      </w:r>
    </w:p>
    <w:p>
      <w:pPr>
        <w:pStyle w:val="Heading2"/>
      </w:pPr>
      <w:r>
        <w:t>Current fictional proposal</w:t>
      </w:r>
    </w:p>
    <w:p>
      <w:pPr>
        <w:spacing w:line="336" w:lineRule="auto" w:after="180"/>
      </w:pPr>
      <w:r>
        <w:rPr>
          <w:b w:val="0"/>
        </w:rPr>
        <w:t>Export has coded ID, exact birth date, classroom and rare condition. Team calls it anonymous because names are removed. Show the intermediate steps and give the conclusion with its scope.</w:t>
      </w:r>
    </w:p>
    <w:p>
      <w:pPr>
        <w:pStyle w:val="Heading2"/>
      </w:pPr>
      <w:r>
        <w:t>Complete executable metadata checks</w:t>
      </w:r>
    </w:p>
    <w:p>
      <w:r>
        <w:rPr>
          <w:rFonts w:ascii="Courier New" w:hAnsi="Courier New"/>
          <w:sz w:val="18"/>
        </w:rPr>
        <w:t>"""Audit a declared fictional data-flow plan, not actual privacy or permission."""</w:t>
        <w:br/>
        <w:br/>
        <w:t>def audit_plan(plan):</w:t>
        <w:br/>
        <w:t xml:space="preserve"> required={'analysis_fields','analyst_can_read_key','public_fields','purpose','retention'}</w:t>
        <w:br/>
        <w:t xml:space="preserve"> if not isinstance(plan,dict) or not required&lt;=plan.keys():raise ValueError('complete declared plan required')</w:t>
        <w:br/>
        <w:t xml:space="preserve"> if type(plan['analyst_can_read_key']) is not bool:raise ValueError('key access must be Boolean')</w:t>
        <w:br/>
        <w:t xml:space="preserve"> for key in ['analysis_fields','public_fields']:</w:t>
        <w:br/>
        <w:t xml:space="preserve">  if not isinstance(plan[key],list) or any(not isinstance(v,str) for v in plan[key]):raise ValueError('field lists required')</w:t>
        <w:br/>
        <w:t xml:space="preserve"> issues=[]</w:t>
        <w:br/>
        <w:t xml:space="preserve"> unnecessary=set(plan['analysis_fields'])-{'participant_code','task_score'}</w:t>
        <w:br/>
        <w:t xml:space="preserve"> if unnecessary:issues.append('analysis includes unnecessary fields under this toy purpose')</w:t>
        <w:br/>
        <w:t xml:space="preserve"> if plan['analyst_can_read_key']:issues.append('analyst access breaks the declared key separation')</w:t>
        <w:br/>
        <w:t xml:space="preserve"> if set(plan['public_fields']) &amp; {'name','identity_key','participant_code','exact_birth_date','classroom','rare_condition','task_score'}:</w:t>
        <w:br/>
        <w:t xml:space="preserve">  issues.append('public proposal contains row-level or linking fields outside the toy aggregate plan')</w:t>
        <w:br/>
        <w:t xml:space="preserve"> if not isinstance(plan['purpose'],str) or not plan['purpose'].strip():issues.append('purpose unspecified')</w:t>
        <w:br/>
        <w:t xml:space="preserve"> if not isinstance(plan['retention'],str) or not plan['retention'].strip():issues.append('retention unspecified')</w:t>
        <w:br/>
        <w:t xml:space="preserve"> return issues</w:t>
        <w:br/>
        <w:t>main={'analysis_fields':['participant_code','exact_birth_date','classroom','rare_condition'],</w:t>
        <w:br/>
        <w:t xml:space="preserve">      'analyst_can_read_key':False,'public_fields':['participant_code','exact_birth_date','classroom','rare_condition'],</w:t>
        <w:br/>
        <w:t xml:space="preserve">      'purpose':'fictional task-score analysis','retention':''}</w:t>
        <w:br/>
        <w:t># Explicit proposed repair; passing these metadata checks is not authorization.</w:t>
        <w:br/>
        <w:t>proposed={'analysis_fields':['participant_code','task_score'],'analyst_can_read_key':False,</w:t>
        <w:br/>
        <w:t xml:space="preserve">          'public_fields':[],'purpose':'fictional task-score analysis',</w:t>
        <w:br/>
        <w:t xml:space="preserve">          'retention':'demo policy: delete analysis and key at end of the named exercise; not an executed deletion'}</w:t>
        <w:br/>
        <w:t>main_issues=audit_plan(main);proposed_issues=audit_plan(proposed)</w:t>
        <w:br/>
        <w:t>published_key={**proposed,'public_fields':['identity_key','participant_code','task_score']}</w:t>
        <w:br/>
        <w:t>assert main_issues and not proposed_issues and audit_plan(published_key)</w:t>
        <w:br/>
        <w:t>def subgroup_rule(size,minimum=5):</w:t>
        <w:br/>
        <w:t xml:space="preserve"> if type(size) is not int or type(minimum) is not int or size&lt;0 or minimum&lt;1:raise ValueError('nonnegative count and positive minimum required')</w:t>
        <w:br/>
        <w:t xml:space="preserve"> return 'block_under_supplied_rule' if size&lt;minimum else 'size_rule_met_only'</w:t>
        <w:br/>
        <w:t>assert subgroup_rule(1)=='block_under_supplied_rule' and subgroup_rule(5)=='size_rule_met_only'</w:t>
        <w:br/>
        <w:t>print('Main proposal issues:',main_issues)</w:t>
        <w:br/>
        <w:t>print('Proposed repair metadata issues:',proposed_issues,'does not mean approved or anonymous')</w:t>
        <w:br/>
        <w:t>print('Published-key proposal issues:',audit_plan(published_key))</w:t>
        <w:br/>
        <w:t>print('Supplied minimum-five rule: one-person subgroup blocked; five meets only this count rule, not a privacy guarantee.')</w:t>
        <w:br/>
        <w:t>print('No personal records, identity lookup, export, access control or deletion is executed. The audit checks declared metadata, not actual reader permissions, consent or reidentification risk.')</w:t>
        <w:br/>
      </w:r>
    </w:p>
    <w:p>
      <w:pPr>
        <w:pStyle w:val="Heading2"/>
      </w:pPr>
      <w:r>
        <w:t>Expected issues and scope</w:t>
      </w:r>
    </w:p>
    <w:p>
      <w:pPr>
        <w:pStyle w:val="ListNumber"/>
      </w:pPr>
      <w:r>
        <w:t>Predict which declared fields, readers and missing retention details the main proposal violates. The full code audits plan metadata, not actual people or permissions. A proposed repair keeps code and score analysis, separates the key role, includes no public row-level output and states an example retention action. No listed issues means only those checks passed. It does not establish authorization or anonymity. A separate size-rule check includes equality at five, without treating that boundary as a privacy guarantee. No export, identity lookup or deletion occurs.</w:t>
      </w:r>
    </w:p>
    <w:p>
      <w:pPr>
        <w:pStyle w:val="Heading2"/>
      </w:pPr>
      <w:r>
        <w:t>Evidence record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apply the minimum-five subgroup policy</w:t>
      </w:r>
    </w:p>
    <w:p>
      <w:r>
        <w:t>Decide the supplied case without claiming the rule guarantees privacy.</w:t>
      </w:r>
    </w:p>
    <w:p>
      <w:pPr>
        <w:pStyle w:val="Heading2"/>
      </w:pPr>
      <w:r>
        <w:t>Independent subgroup case</w:t>
      </w:r>
    </w:p>
    <w:p>
      <w:pPr>
        <w:spacing w:line="336" w:lineRule="auto" w:after="180"/>
      </w:pPr>
      <w:r>
        <w:rPr>
          <w:b w:val="0"/>
        </w:rPr>
        <w:t>Aggregate contains one member in a subgroup; policy forbids subgroup reports smaller than 5. Decide.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Aggregate contains one member in a subgroup; policy forbids subgroup reports smaller than 5. Decide.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purpose, roles, field choices and retention evidence</w:t>
      </w:r>
    </w:p>
    <w:p>
      <w:r>
        <w:t>Keep proposed controls separate from implemented controls.</w:t>
      </w:r>
    </w:p>
    <w:p>
      <w:pPr>
        <w:pStyle w:val="Heading2"/>
      </w:pPr>
      <w:r>
        <w:t>Project and artifact</w:t>
      </w:r>
    </w:p>
    <w:p>
      <w:pPr>
        <w:spacing w:line="336" w:lineRule="auto" w:after="180"/>
      </w:pPr>
      <w:r>
        <w:rPr>
          <w:b w:val="0"/>
        </w:rPr>
        <w:t xml:space="preserve">Add a labelled privacy and </w:t>
      </w:r>
      <w:r>
        <w:rPr>
          <w:b/>
        </w:rPr>
        <w:t>data governance</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privacy and </w:t>
      </w:r>
      <w:r>
        <w:rPr>
          <w:b/>
        </w:rPr>
        <w:t>data governance</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metadata audit or paper trace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why a coded record can remain identifiable</w:t>
      </w:r>
    </w:p>
    <w:p>
      <w:r>
        <w:t>State the purpose, readers, key access and remaining risks.</w:t>
      </w:r>
    </w:p>
    <w:p>
      <w:pPr>
        <w:pStyle w:val="Heading2"/>
      </w:pPr>
      <w:r>
        <w:t>Retrieve and explain</w:t>
      </w:r>
    </w:p>
    <w:p>
      <w:pPr>
        <w:pStyle w:val="ListBullet"/>
      </w:pPr>
      <w:r>
        <w:t>Close your notes. Explain this goal in your own words: Explain the mechanism and terminology of privacy and data governance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Data governance</w:t>
            </w:r>
          </w:p>
        </w:tc>
        <w:tc>
          <w:tcPr>
            <w:tcW w:type="dxa" w:w="5112"/>
          </w:tcPr>
          <w:p>
            <w:r>
              <w:t>Rules for purpose, access, quality and lifetime</w:t>
            </w:r>
          </w:p>
        </w:tc>
      </w:tr>
      <w:tr>
        <w:tc>
          <w:tcPr>
            <w:tcW w:type="dxa" w:w="5112"/>
          </w:tcPr>
          <w:p>
            <w:r>
              <w:t>Pseudonym</w:t>
            </w:r>
          </w:p>
        </w:tc>
        <w:tc>
          <w:tcPr>
            <w:tcW w:type="dxa" w:w="5112"/>
          </w:tcPr>
          <w:p>
            <w:r>
              <w:t>A code replacing direct identification</w:t>
            </w:r>
          </w:p>
        </w:tc>
      </w:tr>
      <w:tr>
        <w:tc>
          <w:tcPr>
            <w:tcW w:type="dxa" w:w="5112"/>
          </w:tcPr>
          <w:p>
            <w:r>
              <w:t>Disclosure risk</w:t>
            </w:r>
          </w:p>
        </w:tc>
        <w:tc>
          <w:tcPr>
            <w:tcW w:type="dxa" w:w="5112"/>
          </w:tcPr>
          <w:p>
            <w:r>
              <w:t>The possibility of learning identifying or sensitive facts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size threshold or coding scheme alone does not guarantee privacy.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Privacy and data governance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Export has coded ID, exact birth date, classroom and rare condition. Team calls it anonymous because names are removed.</w:t>
            </w:r>
          </w:p>
        </w:tc>
        <w:tc>
          <w:tcPr>
            <w:tcW w:type="dxa" w:w="3408"/>
          </w:tcPr>
          <w:p>
            <w:r>
              <w:t>For fictional records separate participant-code table from analysis values; limit access and retention. Remove unnecessary fields and small-group details before a permitted aggregate export.</w:t>
            </w:r>
          </w:p>
        </w:tc>
        <w:tc>
          <w:tcPr>
            <w:tcW w:type="dxa" w:w="3408"/>
          </w:tcPr>
          <w:p>
            <w:r>
              <w:t>The combination can remain identifying; coded is not necessarily anonymous. Minimise fields and assess disclosure under the declared policy.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Govern data by purpose and access. A fictional project needs task scores and random participant codes, but not names.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privacy and data governance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Govern data by purpose and access. A fictional project needs task scores and random participant codes, but not names.</w:t>
      </w:r>
    </w:p>
    <w:p>
      <w:pPr>
        <w:pStyle w:val="Heading3"/>
      </w:pPr>
      <w:r>
        <w:t>Practice 1: explain the deciding evidence</w:t>
      </w:r>
    </w:p>
    <w:p>
      <w:pPr>
        <w:pStyle w:val="ListBullet"/>
      </w:pPr>
      <w:r>
        <w:t>Which labelled step matches this detail? Apply the approved deletion schedule to both stores and listed copies.</w:t>
      </w:r>
    </w:p>
    <w:p>
      <w:pPr>
        <w:pStyle w:val="ListBullet"/>
      </w:pPr>
      <w:r>
        <w:t>1. Define retention</w:t>
      </w:r>
    </w:p>
    <w:p>
      <w:pPr>
        <w:pStyle w:val="ListBullet"/>
      </w:pPr>
      <w:r>
        <w:t>2. Separate tables</w:t>
      </w:r>
    </w:p>
    <w:p>
      <w:pPr>
        <w:pStyle w:val="ListBullet"/>
      </w:pPr>
      <w:r>
        <w:t>3. Limit access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Define retention Apply the approved deletion schedule to both stores and listed copies.</w:t>
      </w:r>
    </w:p>
    <w:p>
      <w:pPr>
        <w:spacing w:line="336" w:lineRule="auto" w:after="180"/>
      </w:pPr>
      <w:r>
        <w:rPr>
          <w:b/>
        </w:rPr>
        <w:t>Pseudonym</w:t>
      </w:r>
      <w:r>
        <w:rPr>
          <w:b w:val="0"/>
        </w:rPr>
        <w:t>ous codes reduce routine exposure but are not the same as irreversible anonymity. Governance specifies purpose, readers, locations and retention.</w:t>
      </w:r>
    </w:p>
    <w:p>
      <w:pPr>
        <w:pStyle w:val="Heading2"/>
      </w:pPr>
      <w:r>
        <w:t>Changed-case question and optional hint</w:t>
      </w:r>
    </w:p>
    <w:p>
      <w:pPr>
        <w:pStyle w:val="Heading3"/>
      </w:pPr>
      <w:r>
        <w:t>Practice 2: explain the deciding evidence</w:t>
      </w:r>
    </w:p>
    <w:p>
      <w:pPr>
        <w:pStyle w:val="ListBullet"/>
      </w:pPr>
      <w:r>
        <w:t>Changed-case practice: Publish the identity key with the analysis table. Which conclusion is supported by the supplied facts?</w:t>
      </w:r>
    </w:p>
    <w:p>
      <w:pPr>
        <w:pStyle w:val="ListBullet"/>
      </w:pPr>
      <w:r>
        <w:t>1. The records become directly linkable to names and breach this access design.</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records become directly linkable to names and breach this access design. Separation only helps while the linkage key remains restricted.</w:t>
      </w:r>
    </w:p>
    <w:p>
      <w:pPr>
        <w:pStyle w:val="Heading2"/>
      </w:pPr>
      <w:r>
        <w:t>Repair and retain the record</w:t>
      </w:r>
    </w:p>
    <w:p>
      <w:pPr>
        <w:spacing w:line="336" w:lineRule="auto" w:after="180"/>
      </w:pPr>
      <w:r>
        <w:rPr>
          <w:b w:val="0"/>
        </w:rPr>
        <w:t xml:space="preserve">Review Research ethics and consent (ai-7/19). Goal: Explain the </w:t>
      </w:r>
      <w:r>
        <w:rPr>
          <w:b/>
        </w:rPr>
        <w:t>mechanism</w:t>
      </w:r>
      <w:r>
        <w:rPr>
          <w:b w:val="0"/>
        </w:rPr>
        <w:t xml:space="preserve"> and terminology of research ethics and consent. Short practice: Identify which uses the drawing consent permits and excludes.</w:t>
      </w:r>
    </w:p>
    <w:p>
      <w:pPr>
        <w:spacing w:line="336" w:lineRule="auto" w:after="180"/>
      </w:pPr>
      <w:r>
        <w:rPr>
          <w:b w:val="0"/>
        </w:rPr>
        <w:t>Can the unrelated project reuse the drawings under this agreement, and what new authorisation would be needed?. Return to this week and explain what you changed.</w:t>
      </w:r>
    </w:p>
    <w:p>
      <w:pPr>
        <w:spacing w:line="336" w:lineRule="auto" w:after="180"/>
      </w:pPr>
      <w:r>
        <w:rPr>
          <w:b w:val="0"/>
        </w:rPr>
        <w:t xml:space="preserve">Review Sensitivity analysis (ai-7/17). Goal: Explain the </w:t>
      </w:r>
      <w:r>
        <w:rPr>
          <w:b/>
        </w:rPr>
        <w:t>mechanism</w:t>
      </w:r>
      <w:r>
        <w:rPr>
          <w:b w:val="0"/>
        </w:rPr>
        <w:t xml:space="preserve"> and terminology of sensitivity analysis. Short practice: Classify 0.4, 0.6 and 0.8 at cutoffs 0.5, 0.7 and exactly 0.6.</w:t>
      </w:r>
    </w:p>
    <w:p>
      <w:pPr>
        <w:spacing w:line="336" w:lineRule="auto" w:after="180"/>
      </w:pPr>
      <w:r>
        <w:rPr>
          <w:b w:val="0"/>
        </w:rPr>
        <w:t>Which equality rule decides the boundary, and can these unlabelled scores identify the best cutoff?. Return to this week and explain what you changed.</w:t>
      </w:r>
    </w:p>
    <w:p>
      <w:pPr>
        <w:spacing w:line="336" w:lineRule="auto" w:after="180"/>
      </w:pPr>
      <w:r>
        <w:rPr>
          <w:b w:val="0"/>
        </w:rPr>
        <w:t xml:space="preserve">Review Statistical tests and assumptions (ai-7/14). Goal: Explain the </w:t>
      </w:r>
      <w:r>
        <w:rPr>
          <w:b/>
        </w:rPr>
        <w:t>mechanism</w:t>
      </w:r>
      <w:r>
        <w:rPr>
          <w:b w:val="0"/>
        </w:rPr>
        <w:t xml:space="preserve"> and terminology of statistical tests and assumptions. Short practice: Calculate each paired difference and the observed sum.</w:t>
      </w:r>
    </w:p>
    <w:p>
      <w:pPr>
        <w:spacing w:line="336" w:lineRule="auto" w:after="180"/>
      </w:pPr>
      <w:r>
        <w:rPr>
          <w:b w:val="0"/>
        </w:rPr>
        <w:t>Count null arrangements with absolute sum at least four, compute p, and explain the decision at threshold 0.05..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Privacy and data governance: the case</w:t>
      </w:r>
    </w:p>
    <w:p>
      <w:r>
        <w:drawing>
          <wp:inline xmlns:a="http://schemas.openxmlformats.org/drawingml/2006/main" xmlns:pic="http://schemas.openxmlformats.org/drawingml/2006/picture">
            <wp:extent cx="5486400" cy="2834640"/>
            <wp:docPr id="5" name="Picture 5" descr="Govern data by purpose and access. A fictional project needs task scores and random participant codes, but not names. Supplied facts: The analysis table holds codes and scores. A separate restricted key links codes to names only for authorised withdrawal handling."/>
            <wp:cNvGraphicFramePr>
              <a:graphicFrameLocks noChangeAspect="1"/>
            </wp:cNvGraphicFramePr>
            <a:graphic>
              <a:graphicData uri="http://schemas.openxmlformats.org/drawingml/2006/picture">
                <pic:pic>
                  <pic:nvPicPr>
                    <pic:cNvPr id="0" name="academy-story-ai-7-20-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Govern data by purpose and access. A fictional project needs task scores and random participant codes, but not names. Supplied facts: The analysis table holds codes and scores.</w:t>
      </w:r>
    </w:p>
    <w:p>
      <w:pPr>
        <w:spacing w:line="336" w:lineRule="auto" w:after="180"/>
      </w:pPr>
      <w:r>
        <w:rPr>
          <w:b w:val="0"/>
        </w:rPr>
        <w:t>A separate restricted key links codes to names only for authorised withdrawal handling.</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Separate tables: Keep analysis records apart from the identity key. → Limit access: Analysts receive scores and codes, not the name linkage. → Define retention: Apply the approved deletion schedule to both stores and listed copies."/>
            <wp:cNvGraphicFramePr>
              <a:graphicFrameLocks noChangeAspect="1"/>
            </wp:cNvGraphicFramePr>
            <a:graphic>
              <a:graphicData uri="http://schemas.openxmlformats.org/drawingml/2006/picture">
                <pic:pic>
                  <pic:nvPicPr>
                    <pic:cNvPr id="0" name="academy-story-ai-7-20-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Separate tables: Keep analysis records apart from the identity key. → Limit access: Analysts receive scores and codes, not the name linkage. → Define retention: Apply the approved deletion schedule to both stores and listed copies.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analysis records separate from the identity key</w:t>
      </w:r>
    </w:p>
    <w:p>
      <w:r>
        <w:drawing>
          <wp:inline xmlns:a="http://schemas.openxmlformats.org/drawingml/2006/main" xmlns:pic="http://schemas.openxmlformats.org/drawingml/2006/picture">
            <wp:extent cx="5486400" cy="3520440"/>
            <wp:docPr id="7" name="Picture 7" descr="Analysts receive random participant codes and scores. A separate restricted key links codes to names only for authorised withdrawal handling. Keeping the key restricted reduces exposure; it does not guarantee anonymity."/>
            <wp:cNvGraphicFramePr>
              <a:graphicFrameLocks noChangeAspect="1"/>
            </wp:cNvGraphicFramePr>
            <a:graphic>
              <a:graphicData uri="http://schemas.openxmlformats.org/drawingml/2006/picture">
                <pic:pic>
                  <pic:nvPicPr>
                    <pic:cNvPr id="0" name="academy-story-ai-7-20-03.png"/>
                    <pic:cNvPicPr/>
                  </pic:nvPicPr>
                  <pic:blipFill>
                    <a:blip r:embed="rId14"/>
                    <a:stretch>
                      <a:fillRect/>
                    </a:stretch>
                  </pic:blipFill>
                  <pic:spPr>
                    <a:xfrm>
                      <a:off x="0" y="0"/>
                      <a:ext cx="5486400" cy="3520440"/>
                    </a:xfrm>
                    <a:prstGeom prst="rect"/>
                  </pic:spPr>
                </pic:pic>
              </a:graphicData>
            </a:graphic>
          </wp:inline>
        </w:drawing>
      </w:r>
    </w:p>
    <w:p>
      <w:pPr>
        <w:spacing w:line="336" w:lineRule="auto" w:after="180"/>
      </w:pPr>
      <w:r>
        <w:rPr>
          <w:b w:val="0"/>
        </w:rPr>
        <w:t>Analysts receive random participant codes and scores. A separate restricted key links codes to names only for authorised withdrawal handling. Keeping the key restricted reduces exposure; it does not guarantee anonymity.</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Apply the approved deletion schedule to both stores and listed copies. Changed condition: Publish the identity key with the analysis table. Expected result: The records become directly linkable to names and breach this access design. Reason: Separation only helps while the linkage key remains restricted."/>
            <wp:cNvGraphicFramePr>
              <a:graphicFrameLocks noChangeAspect="1"/>
            </wp:cNvGraphicFramePr>
            <a:graphic>
              <a:graphicData uri="http://schemas.openxmlformats.org/drawingml/2006/picture">
                <pic:pic>
                  <pic:nvPicPr>
                    <pic:cNvPr id="0" name="academy-story-ai-7-20-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Apply the approved deletion schedule to both stores and listed copies. Changed condition: Publish the identity key with the analysis table.</w:t>
      </w:r>
    </w:p>
    <w:p>
      <w:pPr>
        <w:spacing w:line="336" w:lineRule="auto" w:after="180"/>
      </w:pPr>
      <w:r>
        <w:rPr>
          <w:b w:val="0"/>
        </w:rPr>
        <w:t>Expected result: The records become directly linkable to names and breach this access design. Reason: Separation only helps while the linkage key remains restricted.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Pseudonymous codes reduce routine exposure but are not the same as irreversible anonymity. Governance specifies purpose, readers, locations and retention. Limit: Small groups or unusual records may still be identifiable without names; evaluate re-identification risk."/>
            <wp:cNvGraphicFramePr>
              <a:graphicFrameLocks noChangeAspect="1"/>
            </wp:cNvGraphicFramePr>
            <a:graphic>
              <a:graphicData uri="http://schemas.openxmlformats.org/drawingml/2006/picture">
                <pic:pic>
                  <pic:nvPicPr>
                    <pic:cNvPr id="0" name="academy-story-ai-7-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Pseudonym</w:t>
      </w:r>
      <w:r>
        <w:rPr>
          <w:b w:val="0"/>
        </w:rPr>
        <w:t>ous codes reduce routine exposure but are not the same as irreversible anonymity. Governance specifies purpose, readers, locations and retention.</w:t>
      </w:r>
    </w:p>
    <w:p>
      <w:pPr>
        <w:spacing w:line="336" w:lineRule="auto" w:after="180"/>
      </w:pPr>
      <w:r>
        <w:rPr>
          <w:b w:val="0"/>
        </w:rPr>
        <w:t>Limit: Small groups or unusual records may still be identifiable without names; evaluate re-identification risk.</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Point to the analysis table and the restricted identity key. Why are the codes pseudonymous rather than guaranteed anonymous, and what changes if the key is published?"/>
            <wp:cNvGraphicFramePr>
              <a:graphicFrameLocks noChangeAspect="1"/>
            </wp:cNvGraphicFramePr>
            <a:graphic>
              <a:graphicData uri="http://schemas.openxmlformats.org/drawingml/2006/picture">
                <pic:pic>
                  <pic:nvPicPr>
                    <pic:cNvPr id="0" name="academy-story-ai-7-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Point to the analysis table and the restricted identity key.</w:t>
      </w:r>
    </w:p>
    <w:p>
      <w:pPr>
        <w:spacing w:line="336" w:lineRule="auto" w:after="180"/>
      </w:pPr>
      <w:r>
        <w:rPr>
          <w:b w:val="0"/>
        </w:rPr>
        <w:t xml:space="preserve">Why are the codes </w:t>
      </w:r>
      <w:r>
        <w:rPr>
          <w:b/>
        </w:rPr>
        <w:t>pseudonym</w:t>
      </w:r>
      <w:r>
        <w:rPr>
          <w:b w:val="0"/>
        </w:rPr>
        <w:t>ous rather than guaranteed anonymous, and what changes if the key is published?</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Privacy and data governance: the case</w:t>
      </w:r>
    </w:p>
    <w:p>
      <w:pPr>
        <w:pStyle w:val="Heading3"/>
      </w:pPr>
      <w:r>
        <w:t>02. Follow the deciding steps</w:t>
      </w:r>
    </w:p>
    <w:p>
      <w:pPr>
        <w:pStyle w:val="Heading3"/>
      </w:pPr>
      <w:r>
        <w:t>03. Keep analysis records separate from the identity key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