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ai-7/27</w:t>
      </w:r>
    </w:p>
    <w:p>
      <w:pPr>
        <w:pStyle w:val="Title"/>
      </w:pPr>
      <w:r>
        <w:t>Robustness across conditions</w:t>
      </w:r>
    </w:p>
    <w:p>
      <w:r>
        <w:t>Project: Reproducible AI Research Study</w:t>
      </w:r>
    </w:p>
    <w:p>
      <w:pPr>
        <w:pStyle w:val="Heading1"/>
      </w:pPr>
      <w:r>
        <w:t>Keep condition-specific results visible when checking robustness</w:t>
      </w:r>
    </w:p>
    <w:p>
      <w:r>
        <w:t>Compare frozen procedures across declared conditions without replacing slices with one pooled score.</w:t>
      </w:r>
    </w:p>
    <w:p>
      <w:r>
        <w:t>Question and contract → complete main ledger → separate picture → boundary probes → investigation → independent attempt.</w:t>
      </w:r>
    </w:p>
    <w:p>
      <w:pPr>
        <w:pStyle w:val="Heading1"/>
      </w:pPr>
      <w:r>
        <w:t>01. Keep condition-specific results visible when checking robustness</w:t>
      </w:r>
    </w:p>
    <w:p>
      <w:r>
        <w:t>Compare frozen procedures across declared conditions without replacing slices with one pooled score.</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robustness across conditions.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Inspecting failures and anomalies. Give an example and a mistake that the idea helps you avoid.</w:t>
      </w:r>
    </w:p>
    <w:p>
      <w:pPr>
        <w:spacing w:line="336" w:lineRule="auto" w:after="180"/>
      </w:pPr>
      <w:r>
        <w:rPr>
          <w:b w:val="0"/>
        </w:rPr>
        <w:t>Without opening the old lesson, explain one key idea from Reproducible environment and records. Give an example and a mistake that the idea helps you avoid.</w:t>
      </w:r>
    </w:p>
    <w:p>
      <w:pPr>
        <w:spacing w:line="336" w:lineRule="auto" w:after="180"/>
      </w:pPr>
      <w:r>
        <w:rPr>
          <w:b w:val="0"/>
        </w:rPr>
        <w:t>Without opening the old lesson, explain one key idea from Predefining an analysis plan.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Starting explanation</w:t>
      </w:r>
    </w:p>
    <w:p>
      <w:pPr>
        <w:pStyle w:val="ListBullet"/>
      </w:pPr>
      <w:r>
        <w:t>Recall Inspecting failures and anomalies.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Explain robustness across conditions using the records and boundaries of this fictional investigation.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robustness across conditions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Understand the question and evidence contract</w:t>
      </w:r>
    </w:p>
    <w:p>
      <w:r>
        <w:t>Compare frozen procedures across declared conditions without replacing slices with one pooled score.</w:t>
      </w:r>
    </w:p>
    <w:p>
      <w:pPr>
        <w:pStyle w:val="Heading2"/>
      </w:pPr>
      <w:r>
        <w:t>Start with the research problem</w:t>
      </w:r>
    </w:p>
    <w:p>
      <w:pPr>
        <w:spacing w:line="336" w:lineRule="auto" w:after="180"/>
      </w:pPr>
      <w:r>
        <w:rPr>
          <w:b w:val="0"/>
        </w:rPr>
        <w:t>A method can do well in one setting and poorly in another. Robustness checks ask how the frozen procedure behaves across relevant declared conditions, using aligned scoring, eligibility and baselines. Report each slice and its denominator before any overall total. A difference identifies a pattern to investigate, not its cause.</w:t>
      </w:r>
    </w:p>
    <w:p>
      <w:pPr>
        <w:spacing w:line="336" w:lineRule="auto" w:after="180"/>
      </w:pPr>
      <w:r>
        <w:rPr>
          <w:b w:val="0"/>
        </w:rPr>
        <w:t>A pooled score can conceal a weak condition, especially when the mix of cases differs from the intended use.</w:t>
      </w:r>
    </w:p>
    <w:p>
      <w:pPr>
        <w:pStyle w:val="Heading2"/>
      </w:pPr>
      <w:r>
        <w:t>Original concept explanation</w:t>
      </w:r>
    </w:p>
    <w:p>
      <w:pPr>
        <w:spacing w:line="336" w:lineRule="auto" w:after="180"/>
      </w:pPr>
      <w:r>
        <w:rPr>
          <w:b/>
        </w:rPr>
        <w:t>Robustness check</w:t>
      </w:r>
      <w:r>
        <w:rPr>
          <w:b w:val="0"/>
        </w:rPr>
        <w:t>s examine a frozen procedure under declared varied conditions. Performance differences do not by themselves identify cause.</w:t>
      </w:r>
    </w:p>
    <w:p>
      <w:pPr>
        <w:pStyle w:val="Heading2"/>
      </w:pPr>
      <w:r>
        <w:t>Complete case inputs, rules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Robustness item</w:t>
            </w:r>
          </w:p>
        </w:tc>
        <w:tc>
          <w:tcPr>
            <w:tcW w:type="dxa" w:w="5112"/>
          </w:tcPr>
          <w:p>
            <w:r>
              <w:t>Complete supplied exercise contract</w:t>
            </w:r>
          </w:p>
        </w:tc>
      </w:tr>
      <w:tr>
        <w:tc>
          <w:tcPr>
            <w:tcW w:type="dxa" w:w="5112"/>
          </w:tcPr>
          <w:p>
            <w:r>
              <w:t>Main condition counts</w:t>
            </w:r>
          </w:p>
        </w:tc>
        <w:tc>
          <w:tcPr>
            <w:tcW w:type="dxa" w:w="5112"/>
          </w:tcPr>
          <w:p>
            <w:r>
              <w:t>Current sources: 9/10 pass; outdated sources: 5/10</w:t>
            </w:r>
          </w:p>
        </w:tc>
      </w:tr>
      <w:tr>
        <w:tc>
          <w:tcPr>
            <w:tcW w:type="dxa" w:w="5112"/>
          </w:tcPr>
          <w:p>
            <w:r>
              <w:t>Main interpretation</w:t>
            </w:r>
          </w:p>
        </w:tc>
        <w:tc>
          <w:tcPr>
            <w:tcW w:type="dxa" w:w="5112"/>
          </w:tcPr>
          <w:p>
            <w:r>
              <w:t>Condition-associated descriptive difference; no causal mechanism identified</w:t>
            </w:r>
          </w:p>
        </w:tc>
      </w:tr>
      <w:tr>
        <w:tc>
          <w:tcPr>
            <w:tcW w:type="dxa" w:w="5112"/>
          </w:tcPr>
          <w:p>
            <w:r>
              <w:t>Separate picture</w:t>
            </w:r>
          </w:p>
        </w:tc>
        <w:tc>
          <w:tcPr>
            <w:tcW w:type="dxa" w:w="5112"/>
          </w:tcPr>
          <w:p>
            <w:r>
              <w:t>Frozen classifier and rubric unchanged; indoor 7/8 correct, outdoor 3/8</w:t>
            </w:r>
          </w:p>
        </w:tc>
      </w:tr>
      <w:tr>
        <w:tc>
          <w:tcPr>
            <w:tcW w:type="dxa" w:w="5112"/>
          </w:tcPr>
          <w:p>
            <w:r>
              <w:t>Picture pooled count</w:t>
            </w:r>
          </w:p>
        </w:tc>
        <w:tc>
          <w:tcPr>
            <w:tcW w:type="dxa" w:w="5112"/>
          </w:tcPr>
          <w:p>
            <w:r>
              <w:t>Ten correct among sixteen cases</w:t>
            </w:r>
          </w:p>
        </w:tc>
      </w:tr>
      <w:tr>
        <w:tc>
          <w:tcPr>
            <w:tcW w:type="dxa" w:w="5112"/>
          </w:tcPr>
          <w:p>
            <w:r>
              <w:t>Needed for a controlled follow-up</w:t>
            </w:r>
          </w:p>
        </w:tc>
        <w:tc>
          <w:tcPr>
            <w:tcW w:type="dxa" w:w="5112"/>
          </w:tcPr>
          <w:p>
            <w:r>
              <w:t>Aligned baseline, scoring and eligibility; recorded case/condition changes</w:t>
            </w:r>
          </w:p>
        </w:tc>
      </w:tr>
      <w:tr>
        <w:tc>
          <w:tcPr>
            <w:tcW w:type="dxa" w:w="5112"/>
          </w:tcPr>
          <w:p>
            <w:r>
              <w:t>Not supplied</w:t>
            </w:r>
          </w:p>
        </w:tc>
        <w:tc>
          <w:tcPr>
            <w:tcW w:type="dxa" w:w="5112"/>
          </w:tcPr>
          <w:p>
            <w:r>
              <w:t>Per-case outputs, matched-case transition identities, stable population rates or significance</w:t>
            </w:r>
          </w:p>
        </w:tc>
      </w:tr>
      <w:tr>
        <w:tc>
          <w:tcPr>
            <w:tcW w:type="dxa" w:w="5112"/>
          </w:tcPr>
          <w:p>
            <w:r>
              <w:t>Scope</w:t>
            </w:r>
          </w:p>
        </w:tc>
        <w:tc>
          <w:tcPr>
            <w:tcW w:type="dxa" w:w="5112"/>
          </w:tcPr>
          <w:p>
            <w:r>
              <w:t>Fictional supplied summaries; no new model run or data collection</w:t>
            </w:r>
          </w:p>
        </w:tc>
      </w:tr>
    </w:tbl>
    <w:p>
      <w:pPr>
        <w:pStyle w:val="Heading2"/>
      </w:pPr>
      <w:r>
        <w:t>Name given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the complete main case before interpreting it</w:t>
      </w:r>
    </w:p>
    <w:p>
      <w:r>
        <w:t>Follow each evidence-to-conclusion step and retain unknown quantities.</w:t>
      </w:r>
    </w:p>
    <w:p>
      <w:pPr>
        <w:pStyle w:val="Heading2"/>
      </w:pPr>
      <w:r>
        <w:t>Original declared procedure</w:t>
      </w:r>
    </w:p>
    <w:p>
      <w:pPr>
        <w:spacing w:line="336" w:lineRule="auto" w:after="180"/>
      </w:pPr>
      <w:r>
        <w:rPr>
          <w:b w:val="0"/>
        </w:rPr>
        <w:t xml:space="preserve">Keep baseline, metric and eligibility aligned across conditions. Report condition counts and failures separately; new conditions may extend </w:t>
      </w:r>
      <w:r>
        <w:rPr>
          <w:b/>
        </w:rPr>
        <w:t>evidence</w:t>
      </w:r>
      <w:r>
        <w:rPr>
          <w:b w:val="0"/>
        </w:rPr>
        <w:t xml:space="preserve"> but cannot guarantee all conditions.</w:t>
      </w:r>
    </w:p>
    <w:p>
      <w:pPr>
        <w:pStyle w:val="Heading2"/>
      </w:pPr>
      <w:r>
        <w:t>Complete main-case evidence ledger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quantity</w:t>
            </w:r>
          </w:p>
        </w:tc>
        <w:tc>
          <w:tcPr>
            <w:tcW w:type="dxa" w:w="3408"/>
          </w:tcPr>
          <w:p>
            <w:r>
              <w:t>Current sources</w:t>
            </w:r>
          </w:p>
        </w:tc>
        <w:tc>
          <w:tcPr>
            <w:tcW w:type="dxa" w:w="3408"/>
          </w:tcPr>
          <w:p>
            <w:r>
              <w:t>Outdated sources</w:t>
            </w:r>
          </w:p>
        </w:tc>
      </w:tr>
      <w:tr>
        <w:tc>
          <w:tcPr>
            <w:tcW w:type="dxa" w:w="3408"/>
          </w:tcPr>
          <w:p>
            <w:r>
              <w:t>Passes / evaluated</w:t>
            </w:r>
          </w:p>
        </w:tc>
        <w:tc>
          <w:tcPr>
            <w:tcW w:type="dxa" w:w="3408"/>
          </w:tcPr>
          <w:p>
            <w:r>
              <w:t>9/10</w:t>
            </w:r>
          </w:p>
        </w:tc>
        <w:tc>
          <w:tcPr>
            <w:tcW w:type="dxa" w:w="3408"/>
          </w:tcPr>
          <w:p>
            <w:r>
              <w:t>5/10</w:t>
            </w:r>
          </w:p>
        </w:tc>
      </w:tr>
      <w:tr>
        <w:tc>
          <w:tcPr>
            <w:tcW w:type="dxa" w:w="3408"/>
          </w:tcPr>
          <w:p>
            <w:r>
              <w:t>Observed rate</w:t>
            </w:r>
          </w:p>
        </w:tc>
        <w:tc>
          <w:tcPr>
            <w:tcW w:type="dxa" w:w="3408"/>
          </w:tcPr>
          <w:p>
            <w:r>
              <w:t>90%</w:t>
            </w:r>
          </w:p>
        </w:tc>
        <w:tc>
          <w:tcPr>
            <w:tcW w:type="dxa" w:w="3408"/>
          </w:tcPr>
          <w:p>
            <w:r>
              <w:t>50%</w:t>
            </w:r>
          </w:p>
        </w:tc>
      </w:tr>
      <w:tr>
        <w:tc>
          <w:tcPr>
            <w:tcW w:type="dxa" w:w="3408"/>
          </w:tcPr>
          <w:p>
            <w:r>
              <w:t>Current minus outdated</w:t>
            </w:r>
          </w:p>
        </w:tc>
        <w:tc>
          <w:tcPr>
            <w:tcW w:type="dxa" w:w="3408"/>
          </w:tcPr>
          <w:p>
            <w:r>
              <w:t>40 percentage points</w:t>
            </w:r>
          </w:p>
        </w:tc>
        <w:tc>
          <w:tcPr>
            <w:tcW w:type="dxa" w:w="3408"/>
          </w:tcPr>
          <w:p>
            <w:r>
              <w:t>Lower quality associated with this condition here</w:t>
            </w:r>
          </w:p>
        </w:tc>
      </w:tr>
      <w:tr>
        <w:tc>
          <w:tcPr>
            <w:tcW w:type="dxa" w:w="3408"/>
          </w:tcPr>
          <w:p>
            <w:r>
              <w:t>Mechanism</w:t>
            </w:r>
          </w:p>
        </w:tc>
        <w:tc>
          <w:tcPr>
            <w:tcW w:type="dxa" w:w="3408"/>
          </w:tcPr>
          <w:p>
            <w:r>
              <w:t>Not identified</w:t>
            </w:r>
          </w:p>
        </w:tc>
        <w:tc>
          <w:tcPr>
            <w:tcW w:type="dxa" w:w="3408"/>
          </w:tcPr>
          <w:p>
            <w:r>
              <w:t>Inspect source validity and procedure traces</w:t>
            </w:r>
          </w:p>
        </w:tc>
      </w:tr>
      <w:tr>
        <w:tc>
          <w:tcPr>
            <w:tcW w:type="dxa" w:w="3408"/>
          </w:tcPr>
          <w:p>
            <w:r>
              <w:t>Generalization</w:t>
            </w:r>
          </w:p>
        </w:tc>
        <w:tc>
          <w:tcPr>
            <w:tcW w:type="dxa" w:w="3408"/>
          </w:tcPr>
          <w:p>
            <w:r>
              <w:t>Only supplied cases</w:t>
            </w:r>
          </w:p>
        </w:tc>
        <w:tc>
          <w:tcPr>
            <w:tcW w:type="dxa" w:w="3408"/>
          </w:tcPr>
          <w:p>
            <w:r>
              <w:t>No universal causal or robustness conclusion</w:t>
            </w:r>
          </w:p>
        </w:tc>
      </w:tr>
    </w:tbl>
    <w:p>
      <w:pPr>
        <w:pStyle w:val="Heading2"/>
      </w:pPr>
      <w:r>
        <w:t>State the scope and explain the visual</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Robustness across conditions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 passes 9/10 on current sources and 5/10 on outdated sources.</w:t>
            </w:r>
          </w:p>
        </w:tc>
        <w:tc>
          <w:tcPr>
            <w:tcW w:type="dxa" w:w="3408"/>
          </w:tcPr>
          <w:p>
            <w:r>
              <w:t>Keep baseline, metric and eligibility aligned across conditions. Report condition counts and failures separately; new conditions may extend evidence but cannot guarantee all conditions.</w:t>
            </w:r>
          </w:p>
        </w:tc>
        <w:tc>
          <w:tcPr>
            <w:tcW w:type="dxa" w:w="3408"/>
          </w:tcPr>
          <w:p>
            <w:r>
              <w:t>90% versus 50%; gap 40 percentage points. The outdated-source condition is associated with lower quality here; inspect mechanisms before general causal claims.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the changed case before reading the explanation</w:t>
      </w:r>
    </w:p>
    <w:p>
      <w:r>
        <w:t>Keep the rule and evidence boundary visible.</w:t>
      </w:r>
    </w:p>
    <w:p>
      <w:pPr>
        <w:pStyle w:val="Heading2"/>
      </w:pPr>
      <w:r>
        <w:t>Main task and response</w:t>
      </w:r>
    </w:p>
    <w:p>
      <w:pPr>
        <w:pStyle w:val="ListBullet"/>
      </w:pPr>
      <w:r>
        <w:t>Method passes 9/10 on current sources and 5/10 on outdated sources.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change</w:t>
      </w:r>
    </w:p>
    <w:p>
      <w:pPr>
        <w:pStyle w:val="ListBullet"/>
      </w:pPr>
      <w:r>
        <w:t>Change: Report only the combined 10/16=62.5%.</w:t>
      </w:r>
    </w:p>
    <w:p>
      <w:pPr>
        <w:pStyle w:val="Heading2"/>
      </w:pPr>
      <w:r>
        <w:t>Check after predicting · reference / check after trying</w:t>
      </w:r>
    </w:p>
    <w:p>
      <w:pPr>
        <w:spacing w:line="336" w:lineRule="auto" w:after="180"/>
      </w:pPr>
      <w:r>
        <w:rPr>
          <w:b/>
        </w:rPr>
        <w:t>Prediction</w:t>
      </w:r>
      <w:r>
        <w:rPr>
          <w:b w:val="0"/>
        </w:rPr>
        <w:t>: The arithmetic is correct, but the condition gap becomes hidden.</w:t>
      </w:r>
    </w:p>
    <w:p>
      <w:pPr>
        <w:spacing w:line="336" w:lineRule="auto" w:after="180"/>
      </w:pPr>
      <w:r>
        <w:rPr>
          <w:b w:val="0"/>
        </w:rPr>
        <w:t>Reason: Combining records discards the slice distinction relevant to the deployment goal.</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Connect the main result with the separate pictured case</w:t>
      </w:r>
    </w:p>
    <w:p>
      <w:r>
        <w:t>Keep the two scenarios and their supplied evidence distinct.</w:t>
      </w:r>
    </w:p>
    <w:p>
      <w:pPr>
        <w:pStyle w:val="Heading2"/>
      </w:pPr>
      <w:r>
        <w:t>Main case and original checked reasoning</w:t>
      </w:r>
    </w:p>
    <w:p>
      <w:pPr>
        <w:spacing w:line="336" w:lineRule="auto" w:after="180"/>
      </w:pPr>
      <w:r>
        <w:rPr>
          <w:b w:val="0"/>
        </w:rPr>
        <w:t>Method passes 9/10 on current sources and 5/10 on outdated sources.</w:t>
      </w:r>
    </w:p>
    <w:p>
      <w:pPr>
        <w:spacing w:line="336" w:lineRule="auto" w:after="180"/>
      </w:pPr>
      <w:r>
        <w:rPr>
          <w:b w:val="0"/>
        </w:rPr>
        <w:t xml:space="preserve">90% versus 50%; gap 40 percentage points. The outdated-source condition is associated with lower quality here; inspect </w:t>
      </w:r>
      <w:r>
        <w:rPr>
          <w:b/>
        </w:rPr>
        <w:t>mechanism</w:t>
      </w:r>
      <w:r>
        <w:rPr>
          <w:b w:val="0"/>
        </w:rPr>
        <w:t>s before general causal claims.</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pictured inputs and complete explanation</w:t>
      </w:r>
    </w:p>
    <w:p>
      <w:pPr>
        <w:spacing w:line="336" w:lineRule="auto" w:after="180"/>
      </w:pPr>
      <w:r>
        <w:rPr>
          <w:b w:val="0"/>
        </w:rPr>
        <w:t>Check robustness across conditions. A fixed classifier is tested separately on indoor and shaded outdoor cases.</w:t>
      </w:r>
    </w:p>
    <w:p>
      <w:pPr>
        <w:spacing w:line="336" w:lineRule="auto" w:after="180"/>
      </w:pPr>
      <w:r>
        <w:rPr>
          <w:b w:val="0"/>
        </w:rPr>
        <w:t>Indoor 7/8 correct; outdoor 3/8 correct. The rubric and frozen model are unchanged.</w:t>
      </w:r>
    </w:p>
    <w:p>
      <w:pPr>
        <w:spacing w:line="336" w:lineRule="auto" w:after="180"/>
      </w:pPr>
      <w:r>
        <w:rPr>
          <w:b w:val="0"/>
        </w:rPr>
        <w:t>The separate frozen-classifier picture has seven correct of eight indoor cases, or 87.5%, and three correct of eight shaded outdoor cases, or 37.5%. The descriptive slice gap is fifty percentage points. Combined correctness is ten of sixteen, or 62.5%. Reporting only that pooled score hides the weaker outdoor slice and is not a result for either setting alone.</w:t>
      </w:r>
    </w:p>
    <w:p>
      <w:pPr>
        <w:spacing w:line="336" w:lineRule="auto" w:after="180"/>
      </w:pPr>
      <w:r>
        <w:rPr>
          <w:b w:val="0"/>
        </w:rPr>
        <w:t>Eight cases per slice do not establish stable population rates or the reason for the difference. Keep the model and rubric frozen in the stated comparison, but do not mistake that exercise assumption for code-verified controls or full sampling evidence.</w:t>
      </w:r>
    </w:p>
    <w:p>
      <w:pPr>
        <w:pStyle w:val="Heading2"/>
      </w:pPr>
      <w:r>
        <w:t>Read the labelled representation</w:t>
      </w:r>
    </w:p>
    <w:p>
      <w:r>
        <w:drawing>
          <wp:inline xmlns:a="http://schemas.openxmlformats.org/drawingml/2006/main" xmlns:pic="http://schemas.openxmlformats.org/drawingml/2006/picture">
            <wp:extent cx="5334000" cy="3200400"/>
            <wp:docPr id="1" name="Picture 1" descr="Frozen classifier is correct on seven of eight indoor cases, eighty-seven point five percent, and three of eight outdoor cases, thirty-seven point five percent. Pooled ten of sixteen is sixty-two point five percent and hides a fifty-percentage-point slice gap."/>
            <wp:cNvGraphicFramePr>
              <a:graphicFrameLocks noChangeAspect="1"/>
            </wp:cNvGraphicFramePr>
            <a:graphic>
              <a:graphicData uri="http://schemas.openxmlformats.org/drawingml/2006/picture">
                <pic:pic>
                  <pic:nvPicPr>
                    <pic:cNvPr id="0" name="ai-7-27-slice-rates.png"/>
                    <pic:cNvPicPr/>
                  </pic:nvPicPr>
                  <pic:blipFill>
                    <a:blip r:embed="rId9"/>
                    <a:stretch>
                      <a:fillRect/>
                    </a:stretch>
                  </pic:blipFill>
                  <pic:spPr>
                    <a:xfrm>
                      <a:off x="0" y="0"/>
                      <a:ext cx="5334000" cy="3200400"/>
                    </a:xfrm>
                    <a:prstGeom prst="rect"/>
                  </pic:spPr>
                </pic:pic>
              </a:graphicData>
            </a:graphic>
          </wp:inline>
        </w:drawing>
      </w:r>
    </w:p>
    <w:p>
      <w:r>
        <w:drawing>
          <wp:inline xmlns:a="http://schemas.openxmlformats.org/drawingml/2006/main" xmlns:pic="http://schemas.openxmlformats.org/drawingml/2006/picture">
            <wp:extent cx="5486400" cy="3337560"/>
            <wp:docPr id="2" name="Picture 2" descr="Name both slices: Each condition has eight labelled cases. → Compute rates: Indoor is 87.5%; outdoor is 37.5%. → Bound robustness: The large observed gap motivates investigation rather than claiming condition independence."/>
            <wp:cNvGraphicFramePr>
              <a:graphicFrameLocks noChangeAspect="1"/>
            </wp:cNvGraphicFramePr>
            <a:graphic>
              <a:graphicData uri="http://schemas.openxmlformats.org/drawingml/2006/picture">
                <pic:pic>
                  <pic:nvPicPr>
                    <pic:cNvPr id="0" name="academy-story-ai-7-27-02.png"/>
                    <pic:cNvPicPr/>
                  </pic:nvPicPr>
                  <pic:blipFill>
                    <a:blip r:embed="rId10"/>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both slices</w:t>
            </w:r>
          </w:p>
        </w:tc>
        <w:tc>
          <w:tcPr>
            <w:tcW w:type="dxa" w:w="5112"/>
          </w:tcPr>
          <w:p>
            <w:r>
              <w:t>Each condition has eight labelled cases.</w:t>
            </w:r>
          </w:p>
        </w:tc>
      </w:tr>
      <w:tr>
        <w:tc>
          <w:tcPr>
            <w:tcW w:type="dxa" w:w="5112"/>
          </w:tcPr>
          <w:p>
            <w:r>
              <w:t>2. Compute rates</w:t>
            </w:r>
          </w:p>
        </w:tc>
        <w:tc>
          <w:tcPr>
            <w:tcW w:type="dxa" w:w="5112"/>
          </w:tcPr>
          <w:p>
            <w:r>
              <w:t>Indoor is 87.5%; outdoor is 37.5%.</w:t>
            </w:r>
          </w:p>
        </w:tc>
      </w:tr>
      <w:tr>
        <w:tc>
          <w:tcPr>
            <w:tcW w:type="dxa" w:w="5112"/>
          </w:tcPr>
          <w:p>
            <w:r>
              <w:t>3. Bound robustness</w:t>
            </w:r>
          </w:p>
        </w:tc>
        <w:tc>
          <w:tcPr>
            <w:tcW w:type="dxa" w:w="5112"/>
          </w:tcPr>
          <w:p>
            <w:r>
              <w:t>The large observed gap motivates investigation rather than claiming condition independence.</w:t>
            </w:r>
          </w:p>
        </w:tc>
      </w:tr>
    </w:tbl>
    <w:p>
      <w:r>
        <w:t>Match each pictured step to the supplied facts. This is a worked teaching case, not an independent assessment.</w:t>
      </w:r>
    </w:p>
    <w:p>
      <w:pPr>
        <w:spacing w:line="336" w:lineRule="auto" w:after="180"/>
      </w:pPr>
      <w:r>
        <w:rPr>
          <w:b w:val="0"/>
        </w:rPr>
        <w:t>Robustness asks whether behaviour survives relevant changes in conditions. A total score can hide a weak slice; keep the scenario and denominator visible.</w:t>
      </w:r>
    </w:p>
    <w:p>
      <w:pPr>
        <w:pStyle w:val="Heading2"/>
      </w:pPr>
      <w:r>
        <w:t>Complete picture evidence and limits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Separate picture slice</w:t>
            </w:r>
          </w:p>
        </w:tc>
        <w:tc>
          <w:tcPr>
            <w:tcW w:type="dxa" w:w="3408"/>
          </w:tcPr>
          <w:p>
            <w:r>
              <w:t>Correct / total</w:t>
            </w:r>
          </w:p>
        </w:tc>
        <w:tc>
          <w:tcPr>
            <w:tcW w:type="dxa" w:w="3408"/>
          </w:tcPr>
          <w:p>
            <w:r>
              <w:t>Observed rate</w:t>
            </w:r>
          </w:p>
        </w:tc>
      </w:tr>
      <w:tr>
        <w:tc>
          <w:tcPr>
            <w:tcW w:type="dxa" w:w="3408"/>
          </w:tcPr>
          <w:p>
            <w:r>
              <w:t>Indoor</w:t>
            </w:r>
          </w:p>
        </w:tc>
        <w:tc>
          <w:tcPr>
            <w:tcW w:type="dxa" w:w="3408"/>
          </w:tcPr>
          <w:p>
            <w:r>
              <w:t>7/8</w:t>
            </w:r>
          </w:p>
        </w:tc>
        <w:tc>
          <w:tcPr>
            <w:tcW w:type="dxa" w:w="3408"/>
          </w:tcPr>
          <w:p>
            <w:r>
              <w:t>87.5%</w:t>
            </w:r>
          </w:p>
        </w:tc>
      </w:tr>
      <w:tr>
        <w:tc>
          <w:tcPr>
            <w:tcW w:type="dxa" w:w="3408"/>
          </w:tcPr>
          <w:p>
            <w:r>
              <w:t>Outdoor shade</w:t>
            </w:r>
          </w:p>
        </w:tc>
        <w:tc>
          <w:tcPr>
            <w:tcW w:type="dxa" w:w="3408"/>
          </w:tcPr>
          <w:p>
            <w:r>
              <w:t>3/8</w:t>
            </w:r>
          </w:p>
        </w:tc>
        <w:tc>
          <w:tcPr>
            <w:tcW w:type="dxa" w:w="3408"/>
          </w:tcPr>
          <w:p>
            <w:r>
              <w:t>37.5%</w:t>
            </w:r>
          </w:p>
        </w:tc>
      </w:tr>
      <w:tr>
        <w:tc>
          <w:tcPr>
            <w:tcW w:type="dxa" w:w="3408"/>
          </w:tcPr>
          <w:p>
            <w:r>
              <w:t>Pooled</w:t>
            </w:r>
          </w:p>
        </w:tc>
        <w:tc>
          <w:tcPr>
            <w:tcW w:type="dxa" w:w="3408"/>
          </w:tcPr>
          <w:p>
            <w:r>
              <w:t>10/16</w:t>
            </w:r>
          </w:p>
        </w:tc>
        <w:tc>
          <w:tcPr>
            <w:tcW w:type="dxa" w:w="3408"/>
          </w:tcPr>
          <w:p>
            <w:r>
              <w:t>62.5%</w:t>
            </w:r>
          </w:p>
        </w:tc>
      </w:tr>
      <w:tr>
        <w:tc>
          <w:tcPr>
            <w:tcW w:type="dxa" w:w="3408"/>
          </w:tcPr>
          <w:p>
            <w:r>
              <w:t>Indoor minus outdoor</w:t>
            </w:r>
          </w:p>
        </w:tc>
        <w:tc>
          <w:tcPr>
            <w:tcW w:type="dxa" w:w="3408"/>
          </w:tcPr>
          <w:p>
            <w:r>
              <w:t>Different supplied slices</w:t>
            </w:r>
          </w:p>
        </w:tc>
        <w:tc>
          <w:tcPr>
            <w:tcW w:type="dxa" w:w="3408"/>
          </w:tcPr>
          <w:p>
            <w:r>
              <w:t>50 percentage points</w:t>
            </w:r>
          </w:p>
        </w:tc>
      </w:tr>
      <w:tr>
        <w:tc>
          <w:tcPr>
            <w:tcW w:type="dxa" w:w="3408"/>
          </w:tcPr>
          <w:p>
            <w:r>
              <w:t>Hidden by pooled-only report</w:t>
            </w:r>
          </w:p>
        </w:tc>
        <w:tc>
          <w:tcPr>
            <w:tcW w:type="dxa" w:w="3408"/>
          </w:tcPr>
          <w:p>
            <w:r>
              <w:t>Outdoor weakness</w:t>
            </w:r>
          </w:p>
        </w:tc>
        <w:tc>
          <w:tcPr>
            <w:tcW w:type="dxa" w:w="3408"/>
          </w:tcPr>
          <w:p>
            <w:r>
              <w:t>No separate outdoor rate visible</w:t>
            </w:r>
          </w:p>
        </w:tc>
      </w:tr>
      <w:tr>
        <w:tc>
          <w:tcPr>
            <w:tcW w:type="dxa" w:w="3408"/>
          </w:tcPr>
          <w:p>
            <w:r>
              <w:t>Why rates differ</w:t>
            </w:r>
          </w:p>
        </w:tc>
        <w:tc>
          <w:tcPr>
            <w:tcW w:type="dxa" w:w="3408"/>
          </w:tcPr>
          <w:p>
            <w:r>
              <w:t>Not supplied</w:t>
            </w:r>
          </w:p>
        </w:tc>
        <w:tc>
          <w:tcPr>
            <w:tcW w:type="dxa" w:w="3408"/>
          </w:tcPr>
          <w:p>
            <w:r>
              <w:t>No causal or significance claim</w:t>
            </w:r>
          </w:p>
        </w:tc>
      </w:tr>
    </w:tbl>
    <w:p>
      <w:pPr>
        <w:pStyle w:val="Heading2"/>
      </w:pPr>
      <w:r>
        <w:t>Predict the changed condition</w:t>
      </w:r>
    </w:p>
    <w:p>
      <w:pPr>
        <w:pStyle w:val="ListBullet"/>
      </w:pPr>
      <w:r>
        <w:t>Change one thing: Report only the combined 10/16=62.5%.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41904"/>
            <wp:docPr id="3" name="Picture 3" descr="Original case: The large observed gap motivates investigation rather than claiming condition independence. Changed condition: Report only the combined 10/16=62.5%. Expected result: The arithmetic is correct, but the condition gap becomes hidden. Reason: Combining records discards the slice distinction relevant to the deployment goal."/>
            <wp:cNvGraphicFramePr>
              <a:graphicFrameLocks noChangeAspect="1"/>
            </wp:cNvGraphicFramePr>
            <a:graphic>
              <a:graphicData uri="http://schemas.openxmlformats.org/drawingml/2006/picture">
                <pic:pic>
                  <pic:nvPicPr>
                    <pic:cNvPr id="0" name="academy-story-ai-7-27-04.png"/>
                    <pic:cNvPicPr/>
                  </pic:nvPicPr>
                  <pic:blipFill>
                    <a:blip r:embed="rId11"/>
                    <a:stretch>
                      <a:fillRect/>
                    </a:stretch>
                  </pic:blipFill>
                  <pic:spPr>
                    <a:xfrm>
                      <a:off x="0" y="0"/>
                      <a:ext cx="5486400" cy="3041904"/>
                    </a:xfrm>
                    <a:prstGeom prst="rect"/>
                  </pic:spPr>
                </pic:pic>
              </a:graphicData>
            </a:graphic>
          </wp:inline>
        </w:drawing>
      </w:r>
    </w:p>
    <w:p>
      <w:pPr>
        <w:pStyle w:val="Heading2"/>
      </w:pPr>
      <w:r>
        <w:t>Explain what remains unknown</w:t>
      </w:r>
    </w:p>
    <w:p>
      <w:pPr>
        <w:pStyle w:val="ListBullet"/>
      </w:pPr>
      <w:r>
        <w:t>Eight cases per slice do not establish stable population rates or the reason for the difference.</w:t>
      </w:r>
    </w:p>
    <w:p>
      <w:pPr>
        <w:pStyle w:val="ListBullet"/>
      </w:pPr>
      <w:r>
        <w:t>Read the labelled picture: Calculate indoor, outdoor and combined rates. Which relevant weakness disappears from view when only the combined rate is reported?</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Robustness across conditions</w:t>
      </w:r>
    </w:p>
    <w:p>
      <w:pPr>
        <w:pStyle w:val="Heading3"/>
      </w:pPr>
      <w:r>
        <w:t>The facts we will use</w:t>
      </w:r>
    </w:p>
    <w:p>
      <w:r>
        <w:drawing>
          <wp:inline xmlns:a="http://schemas.openxmlformats.org/drawingml/2006/main" xmlns:pic="http://schemas.openxmlformats.org/drawingml/2006/picture">
            <wp:extent cx="5486400" cy="2641600"/>
            <wp:docPr id="4" name="Picture 4" descr="Fixed model across conditions"/>
            <wp:cNvGraphicFramePr>
              <a:graphicFrameLocks noChangeAspect="1"/>
            </wp:cNvGraphicFramePr>
            <a:graphic>
              <a:graphicData uri="http://schemas.openxmlformats.org/drawingml/2006/picture">
                <pic:pic>
                  <pic:nvPicPr>
                    <pic:cNvPr id="0" name="academy-detail-ai-7-27.png"/>
                    <pic:cNvPicPr/>
                  </pic:nvPicPr>
                  <pic:blipFill>
                    <a:blip r:embed="rId12"/>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5" name="Picture 5" descr="Robustness across conditions. Name both slices: Each condition has eight labelled cases.. Compute rates: Indoor is 87.5%; outdoor is 37.5%.. Bound robustness: The large observed gap motivates investigation rather than claiming condition independence."/>
            <wp:cNvGraphicFramePr>
              <a:graphicFrameLocks noChangeAspect="1"/>
            </wp:cNvGraphicFramePr>
            <a:graphic>
              <a:graphicData uri="http://schemas.openxmlformats.org/drawingml/2006/picture">
                <pic:pic>
                  <pic:nvPicPr>
                    <pic:cNvPr id="0" name="academy-visual-ai-7-27.png"/>
                    <pic:cNvPicPr/>
                  </pic:nvPicPr>
                  <pic:blipFill>
                    <a:blip r:embed="rId13"/>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first unsupported inference and repair it</w:t>
      </w:r>
    </w:p>
    <w:p>
      <w:r>
        <w:t>Use the supplied conditions rather than inventing missing evidence.</w:t>
      </w:r>
    </w:p>
    <w:p>
      <w:pPr>
        <w:pStyle w:val="Heading2"/>
      </w:pPr>
      <w:r>
        <w:t>Original qualification and repair setup</w:t>
      </w:r>
    </w:p>
    <w:p>
      <w:pPr>
        <w:spacing w:line="336" w:lineRule="auto" w:after="180"/>
      </w:pPr>
      <w:r>
        <w:rPr>
          <w:b w:val="0"/>
        </w:rPr>
        <w:t xml:space="preserve">Robustness is bounded by the tested variations and independent </w:t>
      </w:r>
      <w:r>
        <w:rPr>
          <w:b/>
        </w:rPr>
        <w:t>evidence</w:t>
      </w:r>
      <w:r>
        <w:rPr>
          <w:b w:val="0"/>
        </w:rPr>
        <w:t xml:space="preserve"> policy.</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boundary and misconception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Robustness audit</w:t>
            </w:r>
          </w:p>
        </w:tc>
        <w:tc>
          <w:tcPr>
            <w:tcW w:type="dxa" w:w="5112"/>
          </w:tcPr>
          <w:p>
            <w:r>
              <w:t>Checked interpretation</w:t>
            </w:r>
          </w:p>
        </w:tc>
      </w:tr>
      <w:tr>
        <w:tc>
          <w:tcPr>
            <w:tcW w:type="dxa" w:w="5112"/>
          </w:tcPr>
          <w:p>
            <w:r>
              <w:t>Overall score looks acceptable</w:t>
            </w:r>
          </w:p>
        </w:tc>
        <w:tc>
          <w:tcPr>
            <w:tcW w:type="dxa" w:w="5112"/>
          </w:tcPr>
          <w:p>
            <w:r>
              <w:t>A weak relevant condition can still be hidden</w:t>
            </w:r>
          </w:p>
        </w:tc>
      </w:tr>
      <w:tr>
        <w:tc>
          <w:tcPr>
            <w:tcW w:type="dxa" w:w="5112"/>
          </w:tcPr>
          <w:p>
            <w:r>
              <w:t>Same frozen model and rubric</w:t>
            </w:r>
          </w:p>
        </w:tc>
        <w:tc>
          <w:tcPr>
            <w:tcW w:type="dxa" w:w="5112"/>
          </w:tcPr>
          <w:p>
            <w:r>
              <w:t>Useful declared controls, not proof all case properties align</w:t>
            </w:r>
          </w:p>
        </w:tc>
      </w:tr>
      <w:tr>
        <w:tc>
          <w:tcPr>
            <w:tcW w:type="dxa" w:w="5112"/>
          </w:tcPr>
          <w:p>
            <w:r>
              <w:t>Outdoor score lower</w:t>
            </w:r>
          </w:p>
        </w:tc>
        <w:tc>
          <w:tcPr>
            <w:tcW w:type="dxa" w:w="5112"/>
          </w:tcPr>
          <w:p>
            <w:r>
              <w:t>Descriptive pattern, not a root-cause diagnosis</w:t>
            </w:r>
          </w:p>
        </w:tc>
      </w:tr>
      <w:tr>
        <w:tc>
          <w:tcPr>
            <w:tcW w:type="dxa" w:w="5112"/>
          </w:tcPr>
          <w:p>
            <w:r>
              <w:t>New condition tested</w:t>
            </w:r>
          </w:p>
        </w:tc>
        <w:tc>
          <w:tcPr>
            <w:tcW w:type="dxa" w:w="5112"/>
          </w:tcPr>
          <w:p>
            <w:r>
              <w:t>Extends evidence to that condition only</w:t>
            </w:r>
          </w:p>
        </w:tc>
      </w:tr>
      <w:tr>
        <w:tc>
          <w:tcPr>
            <w:tcW w:type="dxa" w:w="5112"/>
          </w:tcPr>
          <w:p>
            <w:r>
              <w:t>One candidate improves one slice</w:t>
            </w:r>
          </w:p>
        </w:tc>
        <w:tc>
          <w:tcPr>
            <w:tcW w:type="dxa" w:w="5112"/>
          </w:tcPr>
          <w:p>
            <w:r>
              <w:t>Check whether another slice worsens</w:t>
            </w:r>
          </w:p>
        </w:tc>
      </w:tr>
      <w:tr>
        <w:tc>
          <w:tcPr>
            <w:tcW w:type="dxa" w:w="5112"/>
          </w:tcPr>
          <w:p>
            <w:r>
              <w:t>Two conditions pooled</w:t>
            </w:r>
          </w:p>
        </w:tc>
        <w:tc>
          <w:tcPr>
            <w:tcW w:type="dxa" w:w="5112"/>
          </w:tcPr>
          <w:p>
            <w:r>
              <w:t>Their observed weights may differ from intended use</w:t>
            </w:r>
          </w:p>
        </w:tc>
      </w:tr>
      <w:tr>
        <w:tc>
          <w:tcPr>
            <w:tcW w:type="dxa" w:w="5112"/>
          </w:tcPr>
          <w:p>
            <w:r>
              <w:t>Only aggregate counts supplied</w:t>
            </w:r>
          </w:p>
        </w:tc>
        <w:tc>
          <w:tcPr>
            <w:tcW w:type="dxa" w:w="5112"/>
          </w:tcPr>
          <w:p>
            <w:r>
              <w:t>Cannot reconstruct individual paired flips</w:t>
            </w:r>
          </w:p>
        </w:tc>
      </w:tr>
      <w:tr>
        <w:tc>
          <w:tcPr>
            <w:tcW w:type="dxa" w:w="5112"/>
          </w:tcPr>
          <w:p>
            <w:r>
              <w:t>No statistical analysis supplied</w:t>
            </w:r>
          </w:p>
        </w:tc>
        <w:tc>
          <w:tcPr>
            <w:tcW w:type="dxa" w:w="5112"/>
          </w:tcPr>
          <w:p>
            <w:r>
              <w:t>Do not label slice gaps statistically established</w:t>
            </w:r>
          </w:p>
        </w:tc>
      </w:tr>
    </w:tbl>
    <w:p>
      <w:pPr>
        <w:pStyle w:val="Heading2"/>
      </w:pPr>
      <w:r>
        <w:t>Write and justify the repair</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Robustness is bounded by the tested variations and independent evidence policy.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the mechanism with progressively less help</w:t>
      </w:r>
    </w:p>
    <w:p>
      <w:r>
        <w:t>Keep the selected independent case for a first attempt.</w:t>
      </w:r>
    </w:p>
    <w:p>
      <w:pPr>
        <w:pStyle w:val="Heading2"/>
      </w:pPr>
      <w:r>
        <w:t>Shared explanation</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workbook trace</w:t>
      </w:r>
    </w:p>
    <w:p>
      <w:pPr>
        <w:spacing w:line="336" w:lineRule="auto" w:after="180"/>
      </w:pPr>
      <w:r>
        <w:rPr>
          <w:b w:val="0"/>
        </w:rPr>
        <w:t xml:space="preserve">Use workbook W2 for the connected example “Robustness across conditions”.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Robustness across conditions.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Calculate indoor, outdoor and combined rates. Which relevant weakness disappears from view when only the combined rate is reported?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task</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Investigate, record the evidence and check the limits</w:t>
      </w:r>
    </w:p>
    <w:p>
      <w:r>
        <w:t>Distinguish a prediction, a paper trace and an actual local execution.</w:t>
      </w:r>
    </w:p>
    <w:p>
      <w:pPr>
        <w:pStyle w:val="Heading2"/>
      </w:pPr>
      <w:r>
        <w:t>Current investigation</w:t>
      </w:r>
    </w:p>
    <w:p>
      <w:pPr>
        <w:spacing w:line="336" w:lineRule="auto" w:after="180"/>
      </w:pPr>
      <w:r>
        <w:rPr>
          <w:b w:val="0"/>
        </w:rPr>
        <w:t>Method passes 9/10 on current sources and 5/10 on outdated sources. Show the intermediate steps and give the conclusion with its scope.</w:t>
      </w:r>
    </w:p>
    <w:p>
      <w:pPr>
        <w:pStyle w:val="Heading2"/>
      </w:pPr>
      <w:r>
        <w:t>Complete investigation instructions</w:t>
      </w:r>
    </w:p>
    <w:p>
      <w:r>
        <w:rPr>
          <w:rFonts w:ascii="Courier New" w:hAnsi="Courier New"/>
          <w:sz w:val="18"/>
        </w:rPr>
        <w:t>"""Condition-specific descriptive rates from stipulated summaries."""</w:t>
        <w:br/>
        <w:t>from fractions import Fraction</w:t>
        <w:br/>
        <w:br/>
        <w:t>def rate(correct,total):</w:t>
        <w:br/>
        <w:t xml:space="preserve"> if type(correct) is not int or type(total) is not int or total&lt;1 or not 0&lt;=correct&lt;=total:raise ValueError('valid count and positive denominator required')</w:t>
        <w:br/>
        <w:t xml:space="preserve"> return Fraction(correct,total)</w:t>
        <w:br/>
        <w:t>main_current=rate(9,10);main_outdated=rate(5,10)</w:t>
        <w:br/>
        <w:t>indoor=rate(7,8);outdoor=rate(3,8);pooled=rate(10,16)</w:t>
        <w:br/>
        <w:t>assert 100*(main_current-main_outdated)==40</w:t>
        <w:br/>
        <w:t>assert 100*(indoor-outdoor)==50 and pooled==Fraction(5,8)</w:t>
        <w:br/>
        <w:t># Reserved independent case is deliberately not solved by this practice program.</w:t>
        <w:br/>
        <w:t>print('Main current/outdated rates:',main_current,main_outdated,'gap in percentage points:',100*(main_current-main_outdated))</w:t>
        <w:br/>
        <w:t>print('Separate indoor/outdoor rates:',indoor,outdoor,'pooled:',pooled)</w:t>
        <w:br/>
        <w:t>print('Pooled 62.5% hides indoor 87.5% versus outdoor 37.5%; it is not the rate for either slice.')</w:t>
        <w:br/>
        <w:t>print('No individual case outcomes, cause, significance, stable population rate or universal robustness is supplied. Frozen-model/rubric claims are exercise assumptions, not code-verified controls.')</w:t>
        <w:br/>
        <w:t>print('No model is run and no new condition is collected. Keep baseline, metric, eligibility and conditions aligned in any proposed follow-up.')</w:t>
        <w:br/>
      </w:r>
    </w:p>
    <w:p>
      <w:pPr>
        <w:pStyle w:val="ListNumber"/>
      </w:pPr>
      <w:r>
        <w:t>Predict the main 90% and 50% rates and forty-point gap. The complete code separately computes the picture’s 87.5%, 37.5% and pooled 62.5%, making the different denominators visible. It summarizes supplied counts only; it does not run a classifier or verify the declared controls. Save the slice results alongside the pooled value and propose a follow-up that holds the baseline, metric and eligibility aligned. Leave causal explanations and population rates unresolved. Keep the independent baseline/candidate comparison for the first individual attempt.</w:t>
      </w:r>
    </w:p>
    <w:p>
      <w:pPr>
        <w:pStyle w:val="Heading2"/>
      </w:pPr>
      <w:r>
        <w:t>Evidence record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the selected new case independently</w:t>
      </w:r>
    </w:p>
    <w:p>
      <w:r>
        <w:t>Compare baseline and candidate within each condition, preserving opposite changes and the limits of aggregate counts.</w:t>
      </w:r>
    </w:p>
    <w:p>
      <w:pPr>
        <w:pStyle w:val="Heading2"/>
      </w:pPr>
      <w:r>
        <w:t>Complete independent task</w:t>
      </w:r>
    </w:p>
    <w:p>
      <w:pPr>
        <w:spacing w:line="336" w:lineRule="auto" w:after="180"/>
      </w:pPr>
      <w:r>
        <w:rPr>
          <w:b w:val="0"/>
        </w:rPr>
        <w:t>Baseline/candidate on condition A:6/8, 7/8; condition B:5/8, 4/8. Compare paired rates.</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Baseline/candidate on condition A:6/8, 7/8; condition B:5/8, 4/8. Compare paired rates.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the research artifact and unresolved conditions</w:t>
      </w:r>
    </w:p>
    <w:p>
      <w:r>
        <w:t>Keep supplied evidence, proposed revisions and actual work distinct.</w:t>
      </w:r>
    </w:p>
    <w:p>
      <w:pPr>
        <w:pStyle w:val="Heading2"/>
      </w:pPr>
      <w:r>
        <w:t>Project task and artifact</w:t>
      </w:r>
    </w:p>
    <w:p>
      <w:pPr>
        <w:spacing w:line="336" w:lineRule="auto" w:after="180"/>
      </w:pPr>
      <w:r>
        <w:rPr>
          <w:b w:val="0"/>
        </w:rPr>
        <w:t xml:space="preserve">Add a labelled robustness across conditions </w:t>
      </w:r>
      <w:r>
        <w:rPr>
          <w:b/>
        </w:rPr>
        <w:t>evidence</w:t>
      </w:r>
      <w:r>
        <w:rPr>
          <w:b w:val="0"/>
        </w:rPr>
        <w:t xml:space="preserve"> sheet to Reproducible AI Research Study. Show how you can explain the </w:t>
      </w:r>
      <w:r>
        <w:rPr>
          <w:b/>
        </w:rPr>
        <w:t>mechanism</w:t>
      </w:r>
      <w:r>
        <w:rPr>
          <w:b w:val="0"/>
        </w:rPr>
        <w:t xml:space="preserve"> and terminology of robustness across conditions.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Evidence and limitations</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Earlier wording, alternatives and picture transcripts · reference / check after trying</w:t>
      </w:r>
    </w:p>
    <w:p>
      <w:pPr>
        <w:pStyle w:val="Heading3"/>
      </w:pPr>
      <w:r>
        <w:t>Evidence for your project</w:t>
      </w:r>
    </w:p>
    <w:p>
      <w:pPr>
        <w:pStyle w:val="Heading1"/>
      </w:pPr>
      <w:r>
        <w:t>16. Retrieve the mechanism and state the evidence boundary</w:t>
      </w:r>
    </w:p>
    <w:p>
      <w:r>
        <w:t>Explain what follows and what would require new evidence.</w:t>
      </w:r>
    </w:p>
    <w:p>
      <w:pPr>
        <w:pStyle w:val="Heading2"/>
      </w:pPr>
      <w:r>
        <w:t>Retrieve and explain</w:t>
      </w:r>
    </w:p>
    <w:p>
      <w:pPr>
        <w:pStyle w:val="ListBullet"/>
      </w:pPr>
      <w:r>
        <w:t>Close your notes. Explain this goal in your own words: Explain the mechanism and terminology of robustness across conditions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research vocabulary precisely</w:t>
      </w:r>
    </w:p>
    <w:p>
      <w:r>
        <w:t>Connect each term to the question, comparison, measurement or evidence.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Robustness check</w:t>
            </w:r>
          </w:p>
        </w:tc>
        <w:tc>
          <w:tcPr>
            <w:tcW w:type="dxa" w:w="5112"/>
          </w:tcPr>
          <w:p>
            <w:r>
              <w:t>Evaluation under declared varied conditions</w:t>
            </w:r>
          </w:p>
        </w:tc>
      </w:tr>
      <w:tr>
        <w:tc>
          <w:tcPr>
            <w:tcW w:type="dxa" w:w="5112"/>
          </w:tcPr>
          <w:p>
            <w:r>
              <w:t>Condition-specific result</w:t>
            </w:r>
          </w:p>
        </w:tc>
        <w:tc>
          <w:tcPr>
            <w:tcW w:type="dxa" w:w="5112"/>
          </w:tcPr>
          <w:p>
            <w:r>
              <w:t>A score within one stated setting</w:t>
            </w:r>
          </w:p>
        </w:tc>
      </w:tr>
      <w:tr>
        <w:tc>
          <w:tcPr>
            <w:tcW w:type="dxa" w:w="5112"/>
          </w:tcPr>
          <w:p>
            <w:r>
              <w:t>Aggregate masking</w:t>
            </w:r>
          </w:p>
        </w:tc>
        <w:tc>
          <w:tcPr>
            <w:tcW w:type="dxa" w:w="5112"/>
          </w:tcPr>
          <w:p>
            <w:r>
              <w:t>A summary hiding differing condition outcomes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Robustness is bounded by the tested variations and independent evidence policy.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research reasoning and its limits</w:t>
      </w:r>
    </w:p>
    <w:p>
      <w:r>
        <w:t>Use after practice; reserve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Robustness across conditions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 passes 9/10 on current sources and 5/10 on outdated sources.</w:t>
            </w:r>
          </w:p>
        </w:tc>
        <w:tc>
          <w:tcPr>
            <w:tcW w:type="dxa" w:w="3408"/>
          </w:tcPr>
          <w:p>
            <w:r>
              <w:t>Keep baseline, metric and eligibility aligned across conditions. Report condition counts and failures separately; new conditions may extend evidence but cannot guarantee all conditions.</w:t>
            </w:r>
          </w:p>
        </w:tc>
        <w:tc>
          <w:tcPr>
            <w:tcW w:type="dxa" w:w="3408"/>
          </w:tcPr>
          <w:p>
            <w:r>
              <w:t>90% versus 50%; gap 40 percentage points. The outdated-source condition is associated with lower quality here; inspect mechanisms before general causal claims.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Check robustness across conditions. A fixed classifier is tested separately on indoor and shaded outdoor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robustness across conditions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Check robustness across conditions. A fixed classifier is tested separately on indoor and shaded outdoor cases.</w:t>
      </w:r>
    </w:p>
    <w:p>
      <w:pPr>
        <w:pStyle w:val="Heading3"/>
      </w:pPr>
      <w:r>
        <w:t>Practice 1: explain the deciding evidence</w:t>
      </w:r>
    </w:p>
    <w:p>
      <w:pPr>
        <w:pStyle w:val="ListBullet"/>
      </w:pPr>
      <w:r>
        <w:t>Which labelled step matches this detail? The large observed gap motivates investigation rather than claiming condition independence.</w:t>
      </w:r>
    </w:p>
    <w:p>
      <w:pPr>
        <w:pStyle w:val="ListBullet"/>
      </w:pPr>
      <w:r>
        <w:t>1. Name both slices</w:t>
      </w:r>
    </w:p>
    <w:p>
      <w:pPr>
        <w:pStyle w:val="ListBullet"/>
      </w:pPr>
      <w:r>
        <w:t>2. Compute rates</w:t>
      </w:r>
    </w:p>
    <w:p>
      <w:pPr>
        <w:pStyle w:val="ListBullet"/>
      </w:pPr>
      <w:r>
        <w:t>3. Bound robustness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Bound robustness The large observed gap motivates investigation rather than claiming condition independence.</w:t>
      </w:r>
    </w:p>
    <w:p>
      <w:pPr>
        <w:spacing w:line="336" w:lineRule="auto" w:after="180"/>
      </w:pPr>
      <w:r>
        <w:rPr>
          <w:b w:val="0"/>
        </w:rPr>
        <w:t>Robustness asks whether behaviour survives relevant changes in conditions. A total score can hide a weak slice; keep the scenario and denominator visible.</w:t>
      </w:r>
    </w:p>
    <w:p>
      <w:pPr>
        <w:pStyle w:val="Heading2"/>
      </w:pPr>
      <w:r>
        <w:t>Changed-case question and optional hint</w:t>
      </w:r>
    </w:p>
    <w:p>
      <w:pPr>
        <w:pStyle w:val="Heading3"/>
      </w:pPr>
      <w:r>
        <w:t>Practice 2: explain the deciding evidence</w:t>
      </w:r>
    </w:p>
    <w:p>
      <w:pPr>
        <w:pStyle w:val="ListBullet"/>
      </w:pPr>
      <w:r>
        <w:t>Changed-case practice: Report only the combined 10/16=62.5%. Which conclusion is supported by the supplied facts?</w:t>
      </w:r>
    </w:p>
    <w:p>
      <w:pPr>
        <w:pStyle w:val="ListBullet"/>
      </w:pPr>
      <w:r>
        <w:t>1. The arithmetic is correct, but the condition gap becomes hidden.</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The arithmetic is correct, but the condition gap becomes hidden. Combining records discards the slice distinction relevant to the deployment goal.</w:t>
      </w:r>
    </w:p>
    <w:p>
      <w:pPr>
        <w:pStyle w:val="Heading2"/>
      </w:pPr>
      <w:r>
        <w:t>Repair and retain the record</w:t>
      </w:r>
    </w:p>
    <w:p>
      <w:pPr>
        <w:spacing w:line="336" w:lineRule="auto" w:after="180"/>
      </w:pPr>
      <w:r>
        <w:rPr>
          <w:b w:val="0"/>
        </w:rPr>
        <w:t xml:space="preserve">Review Inspecting failures and anomalies (ai-7/26). Goal: Explain the </w:t>
      </w:r>
      <w:r>
        <w:rPr>
          <w:b/>
        </w:rPr>
        <w:t>mechanism</w:t>
      </w:r>
      <w:r>
        <w:rPr>
          <w:b w:val="0"/>
        </w:rPr>
        <w:t xml:space="preserve"> and terminology of inspecting failures and anomalies. Short practice: Calculate mean and median for 2,2,2,10.</w:t>
      </w:r>
    </w:p>
    <w:p>
      <w:pPr>
        <w:spacing w:line="336" w:lineRule="auto" w:after="180"/>
      </w:pPr>
      <w:r>
        <w:rPr>
          <w:b w:val="0"/>
        </w:rPr>
        <w:t>What does the timeout log establish, and why is deleting that inconvenient record incompatible with the stated plan?. Return to this week and explain what you changed.</w:t>
      </w:r>
    </w:p>
    <w:p>
      <w:pPr>
        <w:spacing w:line="336" w:lineRule="auto" w:after="180"/>
      </w:pPr>
      <w:r>
        <w:rPr>
          <w:b w:val="0"/>
        </w:rPr>
        <w:t xml:space="preserve">Review Reproducible environment and records (ai-7/24). Goal: Explain the </w:t>
      </w:r>
      <w:r>
        <w:rPr>
          <w:b/>
        </w:rPr>
        <w:t>mechanism</w:t>
      </w:r>
      <w:r>
        <w:rPr>
          <w:b w:val="0"/>
        </w:rPr>
        <w:t xml:space="preserve"> and terminology of reproducible environment and records. Short practice: Trace the recorded mean for 2,4,6 and its changed result for 2,4,9.</w:t>
      </w:r>
    </w:p>
    <w:p>
      <w:pPr>
        <w:spacing w:line="336" w:lineRule="auto" w:after="180"/>
      </w:pPr>
      <w:r>
        <w:rPr>
          <w:b w:val="0"/>
        </w:rPr>
        <w:t xml:space="preserve">Which artefacts must accompany the </w:t>
      </w:r>
      <w:r>
        <w:rPr>
          <w:b/>
        </w:rPr>
        <w:t>output</w:t>
      </w:r>
      <w:r>
        <w:rPr>
          <w:b w:val="0"/>
        </w:rPr>
        <w:t xml:space="preserve"> so another team can identify the exact run?. Return to this week and explain what you changed.</w:t>
      </w:r>
    </w:p>
    <w:p>
      <w:pPr>
        <w:spacing w:line="336" w:lineRule="auto" w:after="180"/>
      </w:pPr>
      <w:r>
        <w:rPr>
          <w:b w:val="0"/>
        </w:rPr>
        <w:t xml:space="preserve">Review Predefining an analysis plan (ai-7/21). Goal: Explain the </w:t>
      </w:r>
      <w:r>
        <w:rPr>
          <w:b/>
        </w:rPr>
        <w:t>mechanism</w:t>
      </w:r>
      <w:r>
        <w:rPr>
          <w:b w:val="0"/>
        </w:rPr>
        <w:t xml:space="preserve"> and terminology of predefining an analysis plan. Short practice: Apply the recorded exclusion rule.</w:t>
      </w:r>
    </w:p>
    <w:p>
      <w:pPr>
        <w:spacing w:line="336" w:lineRule="auto" w:after="180"/>
      </w:pPr>
      <w:r>
        <w:rPr>
          <w:b w:val="0"/>
        </w:rPr>
        <w:t>Can two readable model failures be removed, and how must a necessary later plan change be disclosed?.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Robustness across conditions: the case</w:t>
      </w:r>
    </w:p>
    <w:p>
      <w:r>
        <w:drawing>
          <wp:inline xmlns:a="http://schemas.openxmlformats.org/drawingml/2006/main" xmlns:pic="http://schemas.openxmlformats.org/drawingml/2006/picture">
            <wp:extent cx="5486400" cy="2834640"/>
            <wp:docPr id="6" name="Picture 6" descr="Check robustness across conditions. A fixed classifier is tested separately on indoor and shaded outdoor cases. Supplied facts: Indoor 7/8 correct; outdoor 3/8 correct. The rubric and frozen model are unchanged."/>
            <wp:cNvGraphicFramePr>
              <a:graphicFrameLocks noChangeAspect="1"/>
            </wp:cNvGraphicFramePr>
            <a:graphic>
              <a:graphicData uri="http://schemas.openxmlformats.org/drawingml/2006/picture">
                <pic:pic>
                  <pic:nvPicPr>
                    <pic:cNvPr id="0" name="academy-story-ai-7-27-01.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Check robustness across conditions. A fixed classifier is tested separately on indoor and shaded outdoor cases. Supplied facts: Indoor 7/8 correct; outdoor 3/8 correct. The rubric and frozen model are unchanged.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7" name="Picture 7" descr="Name both slices: Each condition has eight labelled cases. → Compute rates: Indoor is 87.5%; outdoor is 37.5%. → Bound robustness: The large observed gap motivates investigation rather than claiming condition independence."/>
            <wp:cNvGraphicFramePr>
              <a:graphicFrameLocks noChangeAspect="1"/>
            </wp:cNvGraphicFramePr>
            <a:graphic>
              <a:graphicData uri="http://schemas.openxmlformats.org/drawingml/2006/picture">
                <pic:pic>
                  <pic:nvPicPr>
                    <pic:cNvPr id="0" name="academy-story-ai-7-27-02.png"/>
                    <pic:cNvPicPr/>
                  </pic:nvPicPr>
                  <pic:blipFill>
                    <a:blip r:embed="rId10"/>
                    <a:stretch>
                      <a:fillRect/>
                    </a:stretch>
                  </pic:blipFill>
                  <pic:spPr>
                    <a:xfrm>
                      <a:off x="0" y="0"/>
                      <a:ext cx="5486400" cy="3337560"/>
                    </a:xfrm>
                    <a:prstGeom prst="rect"/>
                  </pic:spPr>
                </pic:pic>
              </a:graphicData>
            </a:graphic>
          </wp:inline>
        </w:drawing>
      </w:r>
    </w:p>
    <w:p>
      <w:pPr>
        <w:spacing w:line="336" w:lineRule="auto" w:after="180"/>
      </w:pPr>
      <w:r>
        <w:rPr>
          <w:b w:val="0"/>
        </w:rPr>
        <w:t>Name both slices: Each condition has eight labelled cases. → Compute rates: Indoor is 87.5%; outdoor is 37.5%. → Bound robustness: The large observed gap motivates investigation rather than claiming condition independence.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Fixed model across conditions</w:t>
      </w:r>
    </w:p>
    <w:p>
      <w:r>
        <w:drawing>
          <wp:inline xmlns:a="http://schemas.openxmlformats.org/drawingml/2006/main" xmlns:pic="http://schemas.openxmlformats.org/drawingml/2006/picture">
            <wp:extent cx="5486400" cy="2834640"/>
            <wp:docPr id="8" name="Picture 8" descr="Fixed model across conditions. Units: correct cases out of 8 per condition. Indoor: 7. Shaded outdoor: 3."/>
            <wp:cNvGraphicFramePr>
              <a:graphicFrameLocks noChangeAspect="1"/>
            </wp:cNvGraphicFramePr>
            <a:graphic>
              <a:graphicData uri="http://schemas.openxmlformats.org/drawingml/2006/picture">
                <pic:pic>
                  <pic:nvPicPr>
                    <pic:cNvPr id="0" name="academy-story-ai-7-27-03.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Fixed model across conditions. Units: correct cases out of 8 per condition. Indoor: 7. Shaded outdoor: 3.</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41904"/>
            <wp:docPr id="9" name="Picture 9" descr="Original case: The large observed gap motivates investigation rather than claiming condition independence. Changed condition: Report only the combined 10/16=62.5%. Expected result: The arithmetic is correct, but the condition gap becomes hidden. Reason: Combining records discards the slice distinction relevant to the deployment goal."/>
            <wp:cNvGraphicFramePr>
              <a:graphicFrameLocks noChangeAspect="1"/>
            </wp:cNvGraphicFramePr>
            <a:graphic>
              <a:graphicData uri="http://schemas.openxmlformats.org/drawingml/2006/picture">
                <pic:pic>
                  <pic:nvPicPr>
                    <pic:cNvPr id="0" name="academy-story-ai-7-27-04.png"/>
                    <pic:cNvPicPr/>
                  </pic:nvPicPr>
                  <pic:blipFill>
                    <a:blip r:embed="rId11"/>
                    <a:stretch>
                      <a:fillRect/>
                    </a:stretch>
                  </pic:blipFill>
                  <pic:spPr>
                    <a:xfrm>
                      <a:off x="0" y="0"/>
                      <a:ext cx="5486400" cy="3041904"/>
                    </a:xfrm>
                    <a:prstGeom prst="rect"/>
                  </pic:spPr>
                </pic:pic>
              </a:graphicData>
            </a:graphic>
          </wp:inline>
        </w:drawing>
      </w:r>
    </w:p>
    <w:p>
      <w:pPr>
        <w:spacing w:line="336" w:lineRule="auto" w:after="180"/>
      </w:pPr>
      <w:r>
        <w:rPr>
          <w:b w:val="0"/>
        </w:rPr>
        <w:t>Original case: The large observed gap motivates investigation rather than claiming condition independence. Changed condition: Report only the combined 10/16=62.5%.</w:t>
      </w:r>
    </w:p>
    <w:p>
      <w:pPr>
        <w:spacing w:line="336" w:lineRule="auto" w:after="180"/>
      </w:pPr>
      <w:r>
        <w:rPr>
          <w:b w:val="0"/>
        </w:rPr>
        <w:t>Expected result: The arithmetic is correct, but the condition gap becomes hidden. Reason: Combining records discards the slice distinction relevant to the deployment goal.</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10" name="Picture 10" descr="Robustness asks whether behaviour survives relevant changes in conditions. A total score can hide a weak slice; keep the scenario and denominator visible. Limit: Eight cases per slice do not establish stable population rates or the reason for the difference."/>
            <wp:cNvGraphicFramePr>
              <a:graphicFrameLocks noChangeAspect="1"/>
            </wp:cNvGraphicFramePr>
            <a:graphic>
              <a:graphicData uri="http://schemas.openxmlformats.org/drawingml/2006/picture">
                <pic:pic>
                  <pic:nvPicPr>
                    <pic:cNvPr id="0" name="academy-story-ai-7-27-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Robustness asks whether behaviour survives relevant changes in conditions. A total score can hide a weak slice; keep the scenario and denominator visible.</w:t>
      </w:r>
    </w:p>
    <w:p>
      <w:pPr>
        <w:spacing w:line="336" w:lineRule="auto" w:after="180"/>
      </w:pPr>
      <w:r>
        <w:rPr>
          <w:b w:val="0"/>
        </w:rPr>
        <w:t>Limit: Eight cases per slice do not establish stable population rates or the reason for the difference.</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1" name="Picture 11"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indoor, outdoor and combined rates. Which relevant weakness disappears from view when only the combined rate is reported?"/>
            <wp:cNvGraphicFramePr>
              <a:graphicFrameLocks noChangeAspect="1"/>
            </wp:cNvGraphicFramePr>
            <a:graphic>
              <a:graphicData uri="http://schemas.openxmlformats.org/drawingml/2006/picture">
                <pic:pic>
                  <pic:nvPicPr>
                    <pic:cNvPr id="0" name="academy-story-ai-7-27-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indoor, outdoor and combined rates. Which relevant weakness disappears from view when only the combined rate is reported?</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Robustness across conditions: the case</w:t>
      </w:r>
    </w:p>
    <w:p>
      <w:pPr>
        <w:pStyle w:val="Heading3"/>
      </w:pPr>
      <w:r>
        <w:t>02. Follow the deciding steps</w:t>
      </w:r>
    </w:p>
    <w:p>
      <w:pPr>
        <w:pStyle w:val="Heading3"/>
      </w:pPr>
      <w:r>
        <w:t>03. Fixed model across conditions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