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ai-3/31</w:t>
      </w:r>
    </w:p>
    <w:p>
      <w:pPr>
        <w:pStyle w:val="Title"/>
      </w:pPr>
      <w:r>
        <w:t>Safety Boundaries</w:t>
      </w:r>
    </w:p>
    <w:p>
      <w:r>
        <w:t>Project: Verified Study Buddy</w:t>
      </w:r>
    </w:p>
    <w:p>
      <w:pPr>
        <w:pStyle w:val="Heading1"/>
      </w:pPr>
      <w:r>
        <w:t>Teach each boundary and its specific fallback.</w:t>
      </w:r>
    </w:p>
    <w:p>
      <w:r>
        <w:t>Supply complete toy contracts, distinguish blocked access from invalid input and preserve ordinary supported use.</w:t>
      </w:r>
    </w:p>
    <w:p>
      <w:r>
        <w:t>Ask which check failed first and what evidence or authority would permit the next step.</w:t>
      </w:r>
    </w:p>
    <w:p>
      <w:pPr>
        <w:pStyle w:val="Heading1"/>
      </w:pPr>
      <w:r>
        <w:t>01. Prepare the main lesson and its retained extension</w:t>
      </w:r>
    </w:p>
    <w:p>
      <w:r>
        <w:t>Use fictional records and schedule separate extension time.</w:t>
      </w:r>
    </w:p>
    <w:p>
      <w:pPr>
        <w:pStyle w:val="Heading2"/>
      </w:pPr>
      <w:r>
        <w:t>Goal and preparation</w:t>
      </w:r>
    </w:p>
    <w:p>
      <w:pPr>
        <w:spacing w:line="336" w:lineRule="auto" w:after="180"/>
      </w:pPr>
      <w:r>
        <w:rPr>
          <w:b w:val="0"/>
        </w:rPr>
        <w:t xml:space="preserve">Primary target: Explain the </w:t>
      </w:r>
      <w:r>
        <w:rPr>
          <w:b/>
        </w:rPr>
        <w:t>mechanism</w:t>
      </w:r>
      <w:r>
        <w:rPr>
          <w:b w:val="0"/>
        </w:rPr>
        <w:t xml:space="preserve"> and terminology of </w:t>
      </w:r>
      <w:r>
        <w:rPr>
          <w:b/>
        </w:rPr>
        <w:t>untrusted input</w:t>
      </w:r>
      <w:r>
        <w:rPr>
          <w:b w:val="0"/>
        </w:rPr>
        <w:t xml:space="preserve"> boundaries</w:t>
      </w:r>
    </w:p>
    <w:p>
      <w:pPr>
        <w:spacing w:line="336" w:lineRule="auto" w:after="180"/>
      </w:pPr>
      <w:r>
        <w:rPr>
          <w:b w:val="0"/>
        </w:rPr>
        <w:t xml:space="preserve">Two 45-minute sessions. </w:t>
      </w:r>
      <w:r>
        <w:rPr>
          <w:b/>
        </w:rPr>
        <w:t>Untrusted input</w:t>
      </w:r>
      <w:r>
        <w:rPr>
          <w:b w:val="0"/>
        </w:rPr>
        <w:t xml:space="preserve"> must be treated according to a contract before reaching code, queries or tools. Data that resembles instructions does not acquire execution authority.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By the end, I can explain safety boundaries using a traced example and a stated limitation.</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2"/>
      </w:pPr>
      <w:r>
        <w:t>Main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Retrieval and readiness</w:t>
      </w:r>
    </w:p>
    <w:p>
      <w:pPr>
        <w:spacing w:line="336" w:lineRule="auto" w:after="180"/>
      </w:pPr>
      <w:r>
        <w:rPr>
          <w:b w:val="0"/>
        </w:rPr>
        <w:t>Without opening the old lesson, explain one key idea from Bias and Representation.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representation and bias evaluation</w:t>
      </w:r>
    </w:p>
    <w:p>
      <w:pPr>
        <w:spacing w:line="336" w:lineRule="auto" w:after="180"/>
      </w:pPr>
      <w:r>
        <w:rPr>
          <w:b w:val="0"/>
        </w:rPr>
        <w:t>Reference example, not the only acceptable wording: Teacher explanation: Bias evaluation tests defined outcomes across relevant conditions.</w:t>
      </w:r>
    </w:p>
    <w:p>
      <w:pPr>
        <w:spacing w:line="336" w:lineRule="auto" w:after="180"/>
      </w:pPr>
      <w:r>
        <w:rPr>
          <w:b w:val="0"/>
        </w:rPr>
        <w:t>Group averages can expose differences but cannot alone establish their cause or the correct remedy. Define the task, relevant groups, labels and denominators before comparing. Use fictional, non-identifying records.</w:t>
      </w:r>
    </w:p>
    <w:p>
      <w:pPr>
        <w:spacing w:line="336" w:lineRule="auto" w:after="180"/>
      </w:pPr>
      <w:r>
        <w:rPr>
          <w:b w:val="0"/>
        </w:rPr>
        <w:t>Evaluate quality and fallback outcomes separately; preserve sample sizes and unresolved explanations.</w:t>
      </w:r>
    </w:p>
    <w:p>
      <w:pPr>
        <w:spacing w:line="336" w:lineRule="auto" w:after="180"/>
      </w:pPr>
      <w:r>
        <w:rPr>
          <w:b w:val="0"/>
        </w:rPr>
        <w:t>Without opening the old lesson, explain one key idea from Privacy by Design.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data retention and deletion</w:t>
      </w:r>
    </w:p>
    <w:p>
      <w:pPr>
        <w:spacing w:line="336" w:lineRule="auto" w:after="180"/>
      </w:pPr>
      <w:r>
        <w:rPr>
          <w:b w:val="0"/>
        </w:rPr>
        <w:t>Reference example, not the only acceptable wording: Teacher explanation: Retention and deletion cover all declared stores, including caches and logs. Removing a visible row may leave copies elsewhere.</w:t>
      </w:r>
    </w:p>
    <w:p>
      <w:pPr>
        <w:spacing w:line="336" w:lineRule="auto" w:after="180"/>
      </w:pPr>
      <w:r>
        <w:rPr>
          <w:b w:val="0"/>
        </w:rPr>
        <w:t>Toy policy retains session content for 7 days and deletes it when age is at least7. Audit metadata may remain for 30 days without content. Track primary storage, cache and backup policy separately.</w:t>
      </w:r>
    </w:p>
    <w:p>
      <w:pPr>
        <w:spacing w:line="336" w:lineRule="auto" w:after="180"/>
      </w:pPr>
      <w:r>
        <w:rPr>
          <w:b w:val="0"/>
        </w:rPr>
        <w:t>Without opening the old lesson, explain one key idea from Quality Rubrics. Give an example and a mistake that the idea helps you avoid.</w:t>
      </w:r>
    </w:p>
    <w:p>
      <w:pPr>
        <w:spacing w:line="336" w:lineRule="auto" w:after="180"/>
      </w:pPr>
      <w:r>
        <w:rPr>
          <w:b w:val="0"/>
        </w:rPr>
        <w:t>Look for: Judge an output using separate observable rubric criteria</w:t>
      </w:r>
    </w:p>
    <w:p>
      <w:pPr>
        <w:spacing w:line="336" w:lineRule="auto" w:after="180"/>
      </w:pPr>
      <w:r>
        <w:rPr>
          <w:b w:val="0"/>
        </w:rPr>
        <w:t xml:space="preserve">Reference example, not the only acceptable wording: Apply source support, task fit and sentence limit separately with exact </w:t>
      </w:r>
      <w:r>
        <w:rPr>
          <w:b/>
        </w:rPr>
        <w:t>evidence</w:t>
      </w:r>
      <w:r>
        <w:rPr>
          <w:b w:val="0"/>
        </w:rPr>
        <w:t>. A failed mandatory support gate blocks release despite other passes; the small rubric does not establish every quality or learner benefit.</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Materials and extension planning · reference / check after trying</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Apply the connected idea: Abstention and clarification</w:t>
      </w:r>
    </w:p>
    <w:p>
      <w:pPr>
        <w:spacing w:line="336" w:lineRule="auto" w:after="180"/>
      </w:pPr>
      <w:r>
        <w:rPr>
          <w:b w:val="0"/>
        </w:rPr>
        <w:t xml:space="preserve">Two 45-minute sessions. </w:t>
      </w:r>
      <w:r>
        <w:rPr>
          <w:b/>
        </w:rPr>
        <w:t>Abstention</w:t>
      </w:r>
      <w:r>
        <w:rPr>
          <w:b w:val="0"/>
        </w:rPr>
        <w:t xml:space="preserve"> and </w:t>
      </w:r>
      <w:r>
        <w:rPr>
          <w:b/>
        </w:rPr>
        <w:t>clarification</w:t>
      </w:r>
      <w:r>
        <w:rPr>
          <w:b w:val="0"/>
        </w:rPr>
        <w:t xml:space="preserve"> are valid responses when necessary </w:t>
      </w:r>
      <w:r>
        <w:rPr>
          <w:b/>
        </w:rPr>
        <w:t>evidence</w:t>
      </w:r>
      <w:r>
        <w:rPr>
          <w:b w:val="0"/>
        </w:rPr>
        <w:t xml:space="preserve"> is missing. Ask for the smallest fact that can resolve the decision.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2"/>
      </w:pPr>
      <w:r>
        <w:t>Earlier wording, alternatives and picture transcripts · reference / check after trying</w:t>
      </w:r>
    </w:p>
    <w:p>
      <w:pPr>
        <w:pStyle w:val="Heading3"/>
      </w:pPr>
      <w:r>
        <w:t>Teach the learning cycle</w:t>
      </w:r>
    </w:p>
    <w:p>
      <w:pPr>
        <w:spacing w:line="336" w:lineRule="auto" w:after="180"/>
      </w:pPr>
      <w:r>
        <w:rPr>
          <w:b w:val="0"/>
        </w:rPr>
        <w:t>Case exposure check: this source example appears in ai-3/31, ai-6/18. Reuse a familiar case for recall or modelling; verify that the case used to assess transfer has not already received feedback.</w:t>
      </w:r>
    </w:p>
    <w:p>
      <w:pPr>
        <w:pStyle w:val="Heading3"/>
      </w:pPr>
      <w:r>
        <w:t>Retrieval answer guidance</w:t>
      </w:r>
    </w:p>
    <w:p>
      <w:pPr>
        <w:pStyle w:val="Heading3"/>
      </w:pPr>
      <w:r>
        <w:t>Bias and Representation</w:t>
      </w:r>
    </w:p>
    <w:p>
      <w:pPr>
        <w:pStyle w:val="Heading3"/>
      </w:pPr>
      <w:r>
        <w:t>Privacy by Design</w:t>
      </w:r>
    </w:p>
    <w:p>
      <w:pPr>
        <w:pStyle w:val="Heading3"/>
      </w:pPr>
      <w:r>
        <w:t>Quality Rubrics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plant-study assistant is asked for a person's medication dose. Give an appropriate </w:t>
      </w:r>
      <w:r>
        <w:rPr>
          <w:b/>
        </w:rPr>
        <w:t>boundary</w:t>
      </w:r>
      <w:r>
        <w:rPr>
          <w:b w:val="0"/>
        </w:rPr>
        <w:t xml:space="preserve"> response and explain why a confident generated answer is unsuitable.</w:t>
      </w:r>
    </w:p>
    <w:p>
      <w:pPr>
        <w:pStyle w:val="Heading3"/>
      </w:pPr>
      <w:r>
        <w:t>Concept to explain</w:t>
      </w:r>
    </w:p>
    <w:p>
      <w:pPr>
        <w:spacing w:line="336" w:lineRule="auto" w:after="180"/>
      </w:pPr>
      <w:r>
        <w:rPr>
          <w:b w:val="0"/>
        </w:rPr>
        <w:t xml:space="preserve">Systems need </w:t>
      </w:r>
      <w:r>
        <w:rPr>
          <w:b/>
        </w:rPr>
        <w:t>refusal</w:t>
      </w:r>
      <w:r>
        <w:rPr>
          <w:b w:val="0"/>
        </w:rPr>
        <w:t xml:space="preserve">, warning, </w:t>
      </w:r>
      <w:r>
        <w:rPr>
          <w:b/>
        </w:rPr>
        <w:t>escalation</w:t>
      </w:r>
      <w:r>
        <w:rPr>
          <w:b w:val="0"/>
        </w:rPr>
        <w:t>, and human-review policies.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boundary</w:t>
            </w:r>
          </w:p>
        </w:tc>
        <w:tc>
          <w:tcPr>
            <w:tcW w:type="dxa" w:w="5112"/>
          </w:tcPr>
          <w:p>
            <w:r>
              <w:t>A dividing condition between categories, actions or allowed behaviours.</w:t>
            </w:r>
          </w:p>
        </w:tc>
      </w:tr>
      <w:tr>
        <w:tc>
          <w:tcPr>
            <w:tcW w:type="dxa" w:w="5112"/>
          </w:tcPr>
          <w:p>
            <w:r>
              <w:t>refusal</w:t>
            </w:r>
          </w:p>
        </w:tc>
        <w:tc>
          <w:tcPr>
            <w:tcW w:type="dxa" w:w="5112"/>
          </w:tcPr>
          <w:p>
            <w:r>
              <w:t>A decision not to perform a request because it is outside the system's permitted scope.</w:t>
            </w:r>
          </w:p>
        </w:tc>
      </w:tr>
      <w:tr>
        <w:tc>
          <w:tcPr>
            <w:tcW w:type="dxa" w:w="5112"/>
          </w:tcPr>
          <w:p>
            <w:r>
              <w:t>escalation</w:t>
            </w:r>
          </w:p>
        </w:tc>
        <w:tc>
          <w:tcPr>
            <w:tcW w:type="dxa" w:w="5112"/>
          </w:tcPr>
          <w:p>
            <w:r>
              <w:t>Passing a problem or decision to a person or process with appropriate authority or expertise.</w:t>
            </w:r>
          </w:p>
        </w:tc>
      </w:tr>
      <w:tr>
        <w:tc>
          <w:tcPr>
            <w:tcW w:type="dxa" w:w="5112"/>
          </w:tcPr>
          <w:p>
            <w:r>
              <w:t>safe completion</w:t>
            </w:r>
          </w:p>
        </w:tc>
        <w:tc>
          <w:tcPr>
            <w:tcW w:type="dxa" w:w="5112"/>
          </w:tcPr>
          <w:p>
            <w:r>
              <w:t>A response that helps with the permitted part of a task while respecting its boundaries.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separate contracts and sequential boundaries</w:t>
      </w:r>
    </w:p>
    <w:p>
      <w:r>
        <w:t>Do not silently merge the two identifier formats.</w:t>
      </w:r>
    </w:p>
    <w:p>
      <w:pPr>
        <w:pStyle w:val="Heading2"/>
      </w:pPr>
      <w:r>
        <w:t>State room/catalogue contracts and fallbacks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Declared toy contract</w:t>
            </w:r>
          </w:p>
        </w:tc>
        <w:tc>
          <w:tcPr>
            <w:tcW w:type="dxa" w:w="5112"/>
          </w:tcPr>
          <w:p>
            <w:r>
              <w:t>Exact rule</w:t>
            </w:r>
          </w:p>
        </w:tc>
      </w:tr>
      <w:tr>
        <w:tc>
          <w:tcPr>
            <w:tcW w:type="dxa" w:w="5112"/>
          </w:tcPr>
          <w:p>
            <w:r>
              <w:t>Room ID · W2 and independent case</w:t>
            </w:r>
          </w:p>
        </w:tc>
        <w:tc>
          <w:tcPr>
            <w:tcW w:type="dxa" w:w="5112"/>
          </w:tcPr>
          <w:p>
            <w:r>
              <w:t>One uppercase ASCII letter followed by one ASCII digit, e.g. A1 or B2</w:t>
            </w:r>
          </w:p>
        </w:tc>
      </w:tr>
      <w:tr>
        <w:tc>
          <w:tcPr>
            <w:tcW w:type="dxa" w:w="5112"/>
          </w:tcPr>
          <w:p>
            <w:r>
              <w:t>Catalogue ID · main picture</w:t>
            </w:r>
          </w:p>
        </w:tc>
        <w:tc>
          <w:tcPr>
            <w:tcW w:type="dxa" w:w="5112"/>
          </w:tcPr>
          <w:p>
            <w:r>
              <w:t>Two uppercase ASCII letters followed by one ASCII digit, e.g. AB7</w:t>
            </w:r>
          </w:p>
        </w:tc>
      </w:tr>
      <w:tr>
        <w:tc>
          <w:tcPr>
            <w:tcW w:type="dxa" w:w="5112"/>
          </w:tcPr>
          <w:p>
            <w:r>
              <w:t>No silent repair</w:t>
            </w:r>
          </w:p>
        </w:tc>
        <w:tc>
          <w:tcPr>
            <w:tcW w:type="dxa" w:w="5112"/>
          </w:tcPr>
          <w:p>
            <w:r>
              <w:t>No trimming, case changes, extra digits, newline or appended command text</w:t>
            </w:r>
          </w:p>
        </w:tc>
      </w:tr>
      <w:tr>
        <w:tc>
          <w:tcPr>
            <w:tcW w:type="dxa" w:w="5112"/>
          </w:tcPr>
          <w:p>
            <w:r>
              <w:t>Lookup</w:t>
            </w:r>
          </w:p>
        </w:tc>
        <w:tc>
          <w:tcPr>
            <w:tcW w:type="dxa" w:w="5112"/>
          </w:tcPr>
          <w:p>
            <w:r>
              <w:t>Exact dictionary key; never evaluate input as code</w:t>
            </w:r>
          </w:p>
        </w:tc>
      </w:tr>
      <w:tr>
        <w:tc>
          <w:tcPr>
            <w:tcW w:type="dxa" w:w="5112"/>
          </w:tcPr>
          <w:p>
            <w:r>
              <w:t>Access</w:t>
            </w:r>
          </w:p>
        </w:tc>
        <w:tc>
          <w:tcPr>
            <w:tcW w:type="dxa" w:w="5112"/>
          </w:tcPr>
          <w:p>
            <w:r>
              <w:t>Trusted application role determines eligibility; user text cannot grant teacher access</w:t>
            </w:r>
          </w:p>
        </w:tc>
      </w:tr>
      <w:tr>
        <w:tc>
          <w:tcPr>
            <w:tcW w:type="dxa" w:w="5112"/>
          </w:tcPr>
          <w:p>
            <w:r>
              <w:t>Operation</w:t>
            </w:r>
          </w:p>
        </w:tc>
        <w:tc>
          <w:tcPr>
            <w:tcW w:type="dxa" w:w="5112"/>
          </w:tcPr>
          <w:p>
            <w:r>
              <w:t>Read-only lookup; no send, upload, deletion or booking</w:t>
            </w:r>
          </w:p>
        </w:tc>
      </w:tr>
      <w:tr>
        <w:tc>
          <w:tcPr>
            <w:tcW w:type="dxa" w:w="5112"/>
          </w:tcPr>
          <w:p>
            <w:r>
              <w:t>Evidence gap</w:t>
            </w:r>
          </w:p>
        </w:tc>
        <w:tc>
          <w:tcPr>
            <w:tcW w:type="dxa" w:w="5112"/>
          </w:tcPr>
          <w:p>
            <w:r>
              <w:t>Ask for missing ID; preserve unresolved source conflict; not found is not a measured zero</w:t>
            </w:r>
          </w:p>
        </w:tc>
      </w:tr>
    </w:tbl>
    <w:p>
      <w:pPr>
        <w:spacing w:line="336" w:lineRule="auto" w:after="180"/>
      </w:pPr>
      <w:r>
        <w:rPr>
          <w:b/>
        </w:rPr>
        <w:t>Untrusted input</w:t>
      </w:r>
      <w:r>
        <w:rPr>
          <w:b w:val="0"/>
        </w:rPr>
        <w:t xml:space="preserve"> must be treated according to a contract before reaching code, queries or tools. Data that resembles instructions does not acquire execution authority.</w:t>
      </w:r>
    </w:p>
    <w:p>
      <w:pPr>
        <w:spacing w:line="336" w:lineRule="auto" w:after="180"/>
      </w:pPr>
      <w:r>
        <w:rPr>
          <w:b w:val="0"/>
        </w:rPr>
        <w:t>For the toy lookup accept room IDs matching one uppercase letter plus one digit. Perform exact dictionary lookup; never evaluate user strings as code. Reject invalid length or characters.</w:t>
      </w:r>
    </w:p>
    <w:p>
      <w:pPr>
        <w:pStyle w:val="Heading2"/>
      </w:pPr>
      <w:r>
        <w:t>Trace room W2 and its original function</w:t>
      </w:r>
    </w:p>
    <w:p>
      <w:pPr>
        <w:spacing w:line="336" w:lineRule="auto" w:after="180"/>
      </w:pPr>
      <w:r>
        <w:rPr>
          <w:b/>
        </w:rPr>
        <w:t>Input</w:t>
      </w:r>
      <w:r>
        <w:rPr>
          <w:b w:val="0"/>
        </w:rPr>
        <w:t>s A1 and delete_all() are supplied to room lookup.</w:t>
      </w:r>
    </w:p>
    <w:p>
      <w:pPr>
        <w:spacing w:line="336" w:lineRule="auto" w:after="180"/>
      </w:pPr>
      <w:r>
        <w:rPr>
          <w:b w:val="0"/>
        </w:rPr>
        <w:t>A1 passes the format; delete_all() fails. Neither is executed as code, including any instruction-shaped string.</w:t>
      </w:r>
    </w:p>
    <w:p>
      <w:r>
        <w:rPr>
          <w:rFonts w:ascii="Courier New" w:hAnsi="Courier New"/>
          <w:sz w:val="18"/>
        </w:rPr>
        <w:t>import re</w:t>
        <w:br/>
        <w:br/>
        <w:t>def validate_identifier(value):</w:t>
        <w:br/>
        <w:t xml:space="preserve">    return type(value) is str and re.fullmatch('[A-Z][0-9]', value) is not None</w:t>
        <w:br/>
        <w:br/>
        <w:t>print(validate_identifier("B2"))</w:t>
      </w:r>
    </w:p>
    <w:p>
      <w:pPr>
        <w:pStyle w:val="Heading2"/>
      </w:pPr>
      <w:r>
        <w:t>Read the pictured catalogue case</w:t>
      </w:r>
    </w:p>
    <w:p>
      <w:pPr>
        <w:spacing w:line="336" w:lineRule="auto" w:after="180"/>
      </w:pPr>
      <w:r>
        <w:rPr>
          <w:b w:val="0"/>
        </w:rPr>
        <w:t xml:space="preserve">Make a strict lookup identifier </w:t>
      </w:r>
      <w:r>
        <w:rPr>
          <w:b/>
        </w:rPr>
        <w:t>boundary</w:t>
      </w:r>
      <w:r>
        <w:rPr>
          <w:b w:val="0"/>
        </w:rPr>
        <w:t xml:space="preserve"> visible.</w:t>
      </w:r>
    </w:p>
    <w:p>
      <w:pPr>
        <w:spacing w:line="336" w:lineRule="auto" w:after="180"/>
      </w:pPr>
      <w:r>
        <w:rPr>
          <w:b w:val="0"/>
        </w:rPr>
        <w:t>Toy lookup accepts exactly two uppercase ASCII letters followed by one digit. Accepted example: AB7. No trimming or extra characters are allowed.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pictured catalogue contract accepts AB7 and rejects Ab7 or AB7; send(). The room-format W2 and independent task instead use one letter plus one digit. Do not apply the catalogue rule to B2. Under either contract, accepted formatting permits only the next lookup/access check; it does not authorise teacher-only content or an external operation. All command-like strings are inert test data.</w:t>
      </w:r>
    </w:p>
    <w:p>
      <w:pPr>
        <w:pStyle w:val="Heading2"/>
      </w:pPr>
      <w:r>
        <w:t>Trace format and authority separately</w:t>
      </w:r>
    </w:p>
    <w:p>
      <w:r>
        <w:drawing>
          <wp:inline xmlns:a="http://schemas.openxmlformats.org/drawingml/2006/main" xmlns:pic="http://schemas.openxmlformats.org/drawingml/2006/picture">
            <wp:extent cx="5486400" cy="3337560"/>
            <wp:docPr id="1" name="Picture 1" descr="Check pattern: AB7 has two permitted letters and one digit, with no extra characters. → Reject extra text: AB7; send() violates the exact identifier pattern. → Separate authority: Pattern acceptance only allows the next lookup check; it grants no access to restricted records."/>
            <wp:cNvGraphicFramePr>
              <a:graphicFrameLocks noChangeAspect="1"/>
            </wp:cNvGraphicFramePr>
            <a:graphic>
              <a:graphicData uri="http://schemas.openxmlformats.org/drawingml/2006/picture">
                <pic:pic>
                  <pic:nvPicPr>
                    <pic:cNvPr id="0" name="academy-story-ai-3-31-02.png"/>
                    <pic:cNvPicPr/>
                  </pic:nvPicPr>
                  <pic:blipFill>
                    <a:blip r:embed="rId9"/>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pattern</w:t>
            </w:r>
          </w:p>
        </w:tc>
        <w:tc>
          <w:tcPr>
            <w:tcW w:type="dxa" w:w="5112"/>
          </w:tcPr>
          <w:p>
            <w:r>
              <w:t>AB7 has two permitted letters and one digit, with no extra characters.</w:t>
            </w:r>
          </w:p>
        </w:tc>
      </w:tr>
      <w:tr>
        <w:tc>
          <w:tcPr>
            <w:tcW w:type="dxa" w:w="5112"/>
          </w:tcPr>
          <w:p>
            <w:r>
              <w:t>2. Reject extra text</w:t>
            </w:r>
          </w:p>
        </w:tc>
        <w:tc>
          <w:tcPr>
            <w:tcW w:type="dxa" w:w="5112"/>
          </w:tcPr>
          <w:p>
            <w:r>
              <w:t>AB7; send() violates the exact identifier pattern.</w:t>
            </w:r>
          </w:p>
        </w:tc>
      </w:tr>
      <w:tr>
        <w:tc>
          <w:tcPr>
            <w:tcW w:type="dxa" w:w="5112"/>
          </w:tcPr>
          <w:p>
            <w:r>
              <w:t>3. Separate authority</w:t>
            </w:r>
          </w:p>
        </w:tc>
        <w:tc>
          <w:tcPr>
            <w:tcW w:type="dxa" w:w="5112"/>
          </w:tcPr>
          <w:p>
            <w:r>
              <w:t>Pattern acceptance only allows the next lookup check; it grants no access to restricted records.</w:t>
            </w:r>
          </w:p>
        </w:tc>
      </w:tr>
    </w:tbl>
    <w:p>
      <w:r>
        <w:t>Match each pictured step to the supplied facts. This is a worked teaching case, not an independent assessment.</w:t>
      </w:r>
    </w:p>
    <w:p>
      <w:pPr>
        <w:spacing w:line="336" w:lineRule="auto" w:after="180"/>
      </w:pPr>
      <w:r>
        <w:rPr>
          <w:b w:val="0"/>
        </w:rPr>
        <w:t xml:space="preserve">Read the picture in order. Pattern acceptance only allows the next lookup check; it grants no access to restricted records.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the lowercase catalogue ID</w:t>
      </w:r>
    </w:p>
    <w:p>
      <w:pPr>
        <w:spacing w:line="336" w:lineRule="auto" w:after="180"/>
      </w:pPr>
      <w:r>
        <w:rPr>
          <w:b w:val="0"/>
        </w:rPr>
        <w:t>Change: Change AB7 to Ab7.</w:t>
      </w:r>
    </w:p>
    <w:p>
      <w:pPr>
        <w:spacing w:line="336" w:lineRule="auto" w:after="180"/>
      </w:pPr>
      <w:r>
        <w:rPr>
          <w:b/>
        </w:rPr>
        <w:t>Prediction</w:t>
      </w:r>
      <w:r>
        <w:rPr>
          <w:b w:val="0"/>
        </w:rPr>
        <w:t>: Reject it under the exact uppercase rule.</w:t>
      </w:r>
    </w:p>
    <w:p>
      <w:pPr>
        <w:spacing w:line="336" w:lineRule="auto" w:after="180"/>
      </w:pPr>
      <w:r>
        <w:rPr>
          <w:b w:val="0"/>
        </w:rPr>
        <w:t>Reason: Lowercase b fails the declared pattern even though the identifier looks similar.</w:t>
      </w:r>
    </w:p>
    <w:p>
      <w:pPr>
        <w:pStyle w:val="Heading2"/>
      </w:pPr>
      <w:r>
        <w:t>State the single-boundary limit</w:t>
      </w:r>
    </w:p>
    <w:p>
      <w:pPr>
        <w:spacing w:line="336" w:lineRule="auto" w:after="180"/>
      </w:pPr>
      <w:r>
        <w:rPr>
          <w:b w:val="0"/>
        </w:rPr>
        <w:t xml:space="preserve">Strict formatting is one </w:t>
      </w:r>
      <w:r>
        <w:rPr>
          <w:b/>
        </w:rPr>
        <w:t>boundary</w:t>
      </w:r>
      <w:r>
        <w:rPr>
          <w:b w:val="0"/>
        </w:rPr>
        <w:t>; it does not solve every injection or authorisation problem.</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Extension · Targeted clarification and conflict · reference / check after trying</w:t>
      </w:r>
    </w:p>
    <w:p>
      <w:pPr>
        <w:spacing w:line="336" w:lineRule="auto" w:after="180"/>
      </w:pPr>
      <w:r>
        <w:rPr>
          <w:b/>
        </w:rPr>
        <w:t>Abstention</w:t>
      </w:r>
      <w:r>
        <w:rPr>
          <w:b w:val="0"/>
        </w:rPr>
        <w:t xml:space="preserve"> and </w:t>
      </w:r>
      <w:r>
        <w:rPr>
          <w:b/>
        </w:rPr>
        <w:t>clarification</w:t>
      </w:r>
      <w:r>
        <w:rPr>
          <w:b w:val="0"/>
        </w:rPr>
        <w:t xml:space="preserve"> are valid responses when necessary </w:t>
      </w:r>
      <w:r>
        <w:rPr>
          <w:b/>
        </w:rPr>
        <w:t>evidence</w:t>
      </w:r>
      <w:r>
        <w:rPr>
          <w:b w:val="0"/>
        </w:rPr>
        <w:t xml:space="preserve"> is missing. Ask for the smallest fact that can resolve the decision.</w:t>
      </w:r>
    </w:p>
    <w:p>
      <w:pPr>
        <w:spacing w:line="336" w:lineRule="auto" w:after="180"/>
      </w:pPr>
      <w:r>
        <w:rPr>
          <w:b w:val="0"/>
        </w:rPr>
        <w:t xml:space="preserve">Separate answerable claims from unresolved ones. Clarify ambiguous </w:t>
      </w:r>
      <w:r>
        <w:rPr>
          <w:b/>
        </w:rPr>
        <w:t>input</w:t>
      </w:r>
      <w:r>
        <w:rPr>
          <w:b w:val="0"/>
        </w:rPr>
        <w:t xml:space="preserve"> when a user can supply the needed fact; abstain from unsupported conclusions when </w:t>
      </w:r>
      <w:r>
        <w:rPr>
          <w:b/>
        </w:rPr>
        <w:t>evidence</w:t>
      </w:r>
      <w:r>
        <w:rPr>
          <w:b w:val="0"/>
        </w:rPr>
        <w:t xml:space="preserve"> is unavailable. Define acceptable fallback before evaluation.</w:t>
      </w:r>
    </w:p>
    <w:p>
      <w:pPr>
        <w:spacing w:line="336" w:lineRule="auto" w:after="180"/>
      </w:pPr>
      <w:r>
        <w:rPr>
          <w:b w:val="0"/>
        </w:rPr>
        <w:t>Guided: Do not pick the larger or smaller value as established fact. Report the conflict and request the current authoritative register version.</w:t>
      </w:r>
    </w:p>
    <w:p>
      <w:pPr>
        <w:spacing w:line="336" w:lineRule="auto" w:after="180"/>
      </w:pPr>
      <w:r>
        <w:rPr>
          <w:b w:val="0"/>
        </w:rPr>
        <w:t xml:space="preserve">Qualification: An </w:t>
      </w:r>
      <w:r>
        <w:rPr>
          <w:b/>
        </w:rPr>
        <w:t>abstention</w:t>
      </w:r>
      <w:r>
        <w:rPr>
          <w:b w:val="0"/>
        </w:rPr>
        <w:t xml:space="preserve"> avoids an unsupported answer but does not automatically make a system useful; evaluate appropriate answers and appropriate fallbacks separately.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2"/>
      </w:pPr>
      <w:r>
        <w:t>Additional discussion · Product-specific scope · reference / check after trying</w:t>
      </w:r>
    </w:p>
    <w:p>
      <w:pPr>
        <w:spacing w:line="336" w:lineRule="auto" w:after="180"/>
      </w:pPr>
      <w:r>
        <w:rPr>
          <w:b w:val="0"/>
        </w:rPr>
        <w:t>A Study Buddy is asked to decide whether a learner should take medicine.</w:t>
      </w:r>
    </w:p>
    <w:p>
      <w:pPr>
        <w:spacing w:line="336" w:lineRule="auto" w:after="180"/>
      </w:pPr>
      <w:r>
        <w:rPr>
          <w:b w:val="0"/>
        </w:rPr>
        <w:t xml:space="preserve">Set a product </w:t>
      </w:r>
      <w:r>
        <w:rPr>
          <w:b/>
        </w:rPr>
        <w:t>boundary</w:t>
      </w:r>
      <w:r>
        <w:rPr>
          <w:b w:val="0"/>
        </w:rPr>
        <w:t>.</w:t>
      </w:r>
    </w:p>
    <w:p>
      <w:pPr>
        <w:spacing w:line="336" w:lineRule="auto" w:after="180"/>
      </w:pPr>
      <w:r>
        <w:rPr>
          <w:b w:val="0"/>
        </w:rPr>
        <w:t>A classroom study tool should not decide individual treatment. Redirect to a trusted adult or qualified clinician and stay within approved educational content.</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Low risk: answer a source-grounded study question.</w:t>
      </w:r>
    </w:p>
    <w:p>
      <w:pPr>
        <w:spacing w:line="336" w:lineRule="auto" w:after="180"/>
      </w:pPr>
      <w:r>
        <w:rPr>
          <w:b w:val="0"/>
        </w:rPr>
        <w:t>2. Uncertain risk: warn, ask for context, or request adult help.</w:t>
      </w:r>
    </w:p>
    <w:p>
      <w:pPr>
        <w:spacing w:line="336" w:lineRule="auto" w:after="180"/>
      </w:pPr>
      <w:r>
        <w:rPr>
          <w:b w:val="0"/>
        </w:rPr>
        <w:t>3. Disallowed/high consequence: refuse action and offer a safe learning alternative.</w:t>
      </w:r>
    </w:p>
    <w:p>
      <w:pPr>
        <w:spacing w:line="336" w:lineRule="auto" w:after="180"/>
      </w:pPr>
      <w:r>
        <w:rPr>
          <w:b w:val="0"/>
        </w:rPr>
        <w:t>4. Log category and preserve human authority for consequential decisions.</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Exact explanation to model</w:t>
      </w:r>
    </w:p>
    <w:p>
      <w:pPr>
        <w:pStyle w:val="Heading3"/>
      </w:pPr>
      <w:r>
        <w:t>Explain the added worked example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w:t>
      </w:r>
      <w:r>
        <w:rPr>
          <w:b/>
        </w:rPr>
        <w:t>boundary</w:t>
      </w:r>
      <w:r>
        <w:rPr>
          <w:b w:val="0"/>
        </w:rPr>
        <w:t xml:space="preserve">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Untrusted input</w:t>
            </w:r>
          </w:p>
        </w:tc>
        <w:tc>
          <w:tcPr>
            <w:tcW w:type="dxa" w:w="5112"/>
          </w:tcPr>
          <w:p>
            <w:r>
              <w:t>Data whose claims or control intent have not been authorised</w:t>
            </w:r>
          </w:p>
        </w:tc>
      </w:tr>
      <w:tr>
        <w:tc>
          <w:tcPr>
            <w:tcW w:type="dxa" w:w="5112"/>
          </w:tcPr>
          <w:p>
            <w:r>
              <w:t>Full match</w:t>
            </w:r>
          </w:p>
        </w:tc>
        <w:tc>
          <w:tcPr>
            <w:tcW w:type="dxa" w:w="5112"/>
          </w:tcPr>
          <w:p>
            <w:r>
              <w:t>Validation covering the whole input</w:t>
            </w:r>
          </w:p>
        </w:tc>
      </w:tr>
      <w:tr>
        <w:tc>
          <w:tcPr>
            <w:tcW w:type="dxa" w:w="5112"/>
          </w:tcPr>
          <w:p>
            <w:r>
              <w:t>Injection boundary</w:t>
            </w:r>
          </w:p>
        </w:tc>
        <w:tc>
          <w:tcPr>
            <w:tcW w:type="dxa" w:w="5112"/>
          </w:tcPr>
          <w:p>
            <w:r>
              <w:t>A separation preventing data from becoming executable control</w:t>
            </w:r>
          </w:p>
        </w:tc>
      </w:tr>
    </w:tbl>
    <w:p>
      <w:pPr>
        <w:pStyle w:val="Heading3"/>
      </w:pPr>
      <w:r>
        <w:t>Apply the connected idea: Abstention and clarification</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w:t>
      </w:r>
      <w:r>
        <w:rPr>
          <w:b/>
        </w:rPr>
        <w:t>boundary</w:t>
      </w:r>
      <w:r>
        <w:rPr>
          <w:b w:val="0"/>
        </w:rPr>
        <w:t xml:space="preserve">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spacing w:line="336" w:lineRule="auto" w:after="180"/>
      </w:pPr>
      <w:r>
        <w:rPr>
          <w:b w:val="0"/>
        </w:rPr>
        <w:t xml:space="preserve">Optional local lab: predict the printed result before running this standalone Python 3 example. Change one relevant </w:t>
      </w:r>
      <w:r>
        <w:rPr>
          <w:b/>
        </w:rPr>
        <w:t>boundary</w:t>
      </w:r>
      <w:r>
        <w:rPr>
          <w:b w:val="0"/>
        </w:rPr>
        <w:t xml:space="preserve">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Safety Boundaries</w:t>
      </w:r>
    </w:p>
    <w:p>
      <w:pPr>
        <w:pStyle w:val="Heading3"/>
      </w:pPr>
      <w:r>
        <w:t>The facts we will use</w:t>
      </w:r>
    </w:p>
    <w:p>
      <w:r>
        <w:drawing>
          <wp:inline xmlns:a="http://schemas.openxmlformats.org/drawingml/2006/main" xmlns:pic="http://schemas.openxmlformats.org/drawingml/2006/picture">
            <wp:extent cx="5486400" cy="5225143"/>
            <wp:docPr id="2" name="Picture 2" descr="Safety Boundaries. Check pattern: AB7 has two permitted letters and one digit, with no extra characters.. Reject extra text: AB7; send() violates the exact identifier pattern.. Separate authority: Pattern acceptance only allows the next lookup check; it grants no access to restricted records."/>
            <wp:cNvGraphicFramePr>
              <a:graphicFrameLocks noChangeAspect="1"/>
            </wp:cNvGraphicFramePr>
            <a:graphic>
              <a:graphicData uri="http://schemas.openxmlformats.org/drawingml/2006/picture">
                <pic:pic>
                  <pic:nvPicPr>
                    <pic:cNvPr id="0" name="academy-visual-ai-3-31.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main explanation, then fade support</w:t>
      </w:r>
    </w:p>
    <w:p>
      <w:r>
        <w:t>Collect each learner’s reasoning before revealing a key.</w:t>
      </w:r>
    </w:p>
    <w:p>
      <w:pPr>
        <w:pStyle w:val="Heading2"/>
      </w:pPr>
      <w:r>
        <w:t>Main completion question and key</w:t>
      </w:r>
    </w:p>
    <w:p>
      <w:pPr>
        <w:spacing w:line="336" w:lineRule="auto" w:after="180"/>
      </w:pPr>
      <w:r>
        <w:rPr>
          <w:b w:val="0"/>
        </w:rPr>
        <w:t xml:space="preserve">Completion task: </w:t>
      </w:r>
      <w:r>
        <w:rPr>
          <w:b/>
        </w:rPr>
        <w:t>Input</w:t>
      </w:r>
      <w:r>
        <w:rPr>
          <w:b w:val="0"/>
        </w:rPr>
        <w:t>s A1 and delete_all() are supplied to room lookup. Show the intermediate steps and give the conclusion with its scope.</w:t>
      </w:r>
    </w:p>
    <w:p>
      <w:pPr>
        <w:spacing w:line="336" w:lineRule="auto" w:after="180"/>
      </w:pPr>
      <w:r>
        <w:rPr>
          <w:b w:val="0"/>
        </w:rPr>
        <w:t>Teacher check: Teacher explanation: A1 passes the format; delete_all() fails. Neither is executed as code, including any instruction-shaped string.</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Main individual check</w:t>
      </w:r>
    </w:p>
    <w:p>
      <w:pPr>
        <w:spacing w:line="336" w:lineRule="auto" w:after="180"/>
      </w:pPr>
      <w:r>
        <w:rPr>
          <w:b w:val="0"/>
        </w:rPr>
        <w:t xml:space="preserve">Use the worked case for </w:t>
      </w:r>
      <w:r>
        <w:rPr>
          <w:b/>
        </w:rPr>
        <w:t>Untrusted input</w:t>
      </w:r>
      <w:r>
        <w:rPr>
          <w:b w:val="0"/>
        </w:rPr>
        <w:t xml:space="preserve"> boundaries.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format check does not grant resource access; authorisation follows separately.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 case</w:t>
      </w:r>
    </w:p>
    <w:p>
      <w:pPr>
        <w:spacing w:line="336" w:lineRule="auto" w:after="180"/>
      </w:pPr>
      <w:r>
        <w:rPr>
          <w:b w:val="0"/>
        </w:rPr>
        <w:t xml:space="preserve">If AB7 passes the pattern, may it access teacher-only material? Point to the relevant step in the picture, then write the changed result and the rule or </w:t>
      </w:r>
      <w:r>
        <w:rPr>
          <w:b/>
        </w:rPr>
        <w:t>evidence</w:t>
      </w:r>
      <w:r>
        <w:rPr>
          <w:b w:val="0"/>
        </w:rPr>
        <w:t xml:space="preserve"> that supports it.</w:t>
      </w:r>
    </w:p>
    <w:p>
      <w:pPr>
        <w:spacing w:line="336" w:lineRule="auto" w:after="180"/>
      </w:pPr>
      <w:r>
        <w:rPr>
          <w:b w:val="0"/>
        </w:rPr>
        <w:t>Not from pattern validity alone. The server must separately enforce the authenticated user’s access rights. Changed-case check: Reject it under the exact uppercase rule.</w:t>
      </w:r>
    </w:p>
    <w:p>
      <w:pPr>
        <w:spacing w:line="336" w:lineRule="auto" w:after="180"/>
      </w:pPr>
      <w:r>
        <w:rPr>
          <w:b w:val="0"/>
        </w:rPr>
        <w:t>Lowercase b fails the declared pattern even though the identifier looks similar.</w:t>
      </w:r>
    </w:p>
    <w:p>
      <w:pPr>
        <w:spacing w:line="336" w:lineRule="auto" w:after="180"/>
      </w:pPr>
      <w:r>
        <w:rPr>
          <w:b w:val="0"/>
        </w:rPr>
        <w:t>Changed-case reasoning: Reject it under the exact uppercase rule. Lowercase b fails the declared pattern even though the identifier looks similar.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learners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Extension teaching cycle · reference / check after trying</w:t>
      </w:r>
    </w:p>
    <w:p>
      <w:pPr>
        <w:spacing w:line="336" w:lineRule="auto" w:after="180"/>
      </w:pPr>
      <w:r>
        <w:rPr>
          <w:b w:val="0"/>
        </w:rPr>
        <w:t xml:space="preserve">Target: Explain the </w:t>
      </w:r>
      <w:r>
        <w:rPr>
          <w:b/>
        </w:rPr>
        <w:t>mechanism</w:t>
      </w:r>
      <w:r>
        <w:rPr>
          <w:b w:val="0"/>
        </w:rPr>
        <w:t xml:space="preserve"> and terminology of </w:t>
      </w:r>
      <w:r>
        <w:rPr>
          <w:b/>
        </w:rPr>
        <w:t>abstention</w:t>
      </w:r>
      <w:r>
        <w:rPr>
          <w:b w:val="0"/>
        </w:rPr>
        <w:t xml:space="preserve"> and </w:t>
      </w:r>
      <w:r>
        <w:rPr>
          <w:b/>
        </w:rPr>
        <w:t>clarification</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Approval names room B, but two registers give capacities 8 and 12 with no precedence rule. The question asks maximum attendance. Show the intermediate steps and give the conclusion with its scope.</w:t>
      </w:r>
    </w:p>
    <w:p>
      <w:pPr>
        <w:spacing w:line="336" w:lineRule="auto" w:after="180"/>
      </w:pPr>
      <w:r>
        <w:rPr>
          <w:b w:val="0"/>
        </w:rPr>
        <w:t>Teacher check: Teacher explanation: Do not pick the larger or smaller value as established fact. Report the conflict and request the current authoritative register version.</w:t>
      </w:r>
    </w:p>
    <w:p>
      <w:pPr>
        <w:spacing w:line="336" w:lineRule="auto" w:after="180"/>
      </w:pPr>
      <w:r>
        <w:rPr>
          <w:b w:val="0"/>
        </w:rPr>
        <w:t xml:space="preserve">Individual check: For </w:t>
      </w:r>
      <w:r>
        <w:rPr>
          <w:b/>
        </w:rPr>
        <w:t>Abstention</w:t>
      </w:r>
      <w:r>
        <w:rPr>
          <w:b w:val="0"/>
        </w:rPr>
        <w:t xml:space="preserve"> and </w:t>
      </w:r>
      <w:r>
        <w:rPr>
          <w:b/>
        </w:rPr>
        <w:t>clarification</w:t>
      </w:r>
      <w:r>
        <w:rPr>
          <w:b w:val="0"/>
        </w:rPr>
        <w:t>, use its worked case to evaluate this proposed explanation: “The worked result establishes every future case”. Explain the deciding step.</w:t>
      </w:r>
    </w:p>
    <w:p>
      <w:pPr>
        <w:spacing w:line="336" w:lineRule="auto" w:after="180"/>
      </w:pPr>
      <w:r>
        <w:rPr>
          <w:b w:val="0"/>
        </w:rPr>
        <w:t xml:space="preserve">Expected correction: An </w:t>
      </w:r>
      <w:r>
        <w:rPr>
          <w:b/>
        </w:rPr>
        <w:t>abstention</w:t>
      </w:r>
      <w:r>
        <w:rPr>
          <w:b w:val="0"/>
        </w:rPr>
        <w:t xml:space="preserve"> avoids an unsupported answer but does not automatically make a system useful; evaluate appropriate answers and appropriate fallbacks separately.</w:t>
      </w:r>
    </w:p>
    <w:p>
      <w:pPr>
        <w:spacing w:line="336" w:lineRule="auto" w:after="180"/>
      </w:pPr>
      <w:r>
        <w:rPr>
          <w:b w:val="0"/>
        </w:rPr>
        <w:t>Apply the same support, independent transfer and delayed-review decisions to the named connected-topic workbook tasks.</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Study Buddy is asked to decide whether a learner should take medicine.</w:t>
      </w:r>
    </w:p>
    <w:p>
      <w:pPr>
        <w:spacing w:line="336" w:lineRule="auto" w:after="180"/>
      </w:pPr>
      <w:r>
        <w:rPr>
          <w:b w:val="0"/>
        </w:rPr>
        <w:t xml:space="preserve">Write the question to explain: Set a product </w:t>
      </w:r>
      <w:r>
        <w:rPr>
          <w:b/>
        </w:rPr>
        <w:t>boundary</w:t>
      </w:r>
      <w:r>
        <w:rPr>
          <w:b w:val="0"/>
        </w:rPr>
        <w:t>.</w:t>
      </w:r>
    </w:p>
    <w:p>
      <w:pPr>
        <w:spacing w:line="336" w:lineRule="auto" w:after="180"/>
      </w:pPr>
      <w:r>
        <w:rPr>
          <w:b w:val="0"/>
        </w:rPr>
        <w:t xml:space="preserve">Reveal after </w:t>
      </w:r>
      <w:r>
        <w:rPr>
          <w:b/>
        </w:rPr>
        <w:t>prediction</w:t>
      </w:r>
      <w:r>
        <w:rPr>
          <w:b w:val="0"/>
        </w:rPr>
        <w:t>s: A classroom study tool should not decide individual treatment. Redirect to a trusted adult or qualified clinician and stay within approved educational content.</w:t>
      </w:r>
    </w:p>
    <w:p>
      <w:pPr>
        <w:spacing w:line="336" w:lineRule="auto" w:after="180"/>
      </w:pPr>
      <w:r>
        <w:rPr>
          <w:b w:val="0"/>
        </w:rPr>
        <w:t>Use the earlier transfer question as optional practice. Reserve Classify the fresh room-ID strings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A1 passes the format; delete_all() fails. Neither is executed as code, including any instruction-shaped string. Qualification: A format check does not grant resource access; authorisation follows separately.</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Connected teaching cycle: Abstention and clarification</w:t>
      </w:r>
    </w:p>
    <w:p>
      <w:pPr>
        <w:pStyle w:val="Heading3"/>
      </w:pPr>
      <w:r>
        <w:t>Pictorial practice question</w:t>
      </w:r>
    </w:p>
    <w:p>
      <w:pPr>
        <w:pStyle w:val="Heading3"/>
      </w:pPr>
      <w:r>
        <w:t>Reasoned teacher answer</w:t>
      </w:r>
    </w:p>
    <w:p>
      <w:pPr>
        <w:pStyle w:val="Heading1"/>
      </w:pPr>
      <w:r>
        <w:t>04. Run the supplied main investigation</w:t>
      </w:r>
    </w:p>
    <w:p>
      <w:r>
        <w:t>Keep the selected independent task out of shared practice.</w:t>
      </w:r>
    </w:p>
    <w:p>
      <w:pPr>
        <w:pStyle w:val="Heading2"/>
      </w:pPr>
      <w:r>
        <w:t>Supplied records and answer guidance</w:t>
      </w:r>
    </w:p>
    <w:p>
      <w:pPr>
        <w:spacing w:line="336" w:lineRule="auto" w:after="180"/>
      </w:pPr>
      <w:r>
        <w:rPr>
          <w:b w:val="0"/>
        </w:rPr>
        <w:t>Room schema A1 valid and command text invalid, never executed. Catalogue AB7 valid, Ab7 invalid; trusted student cannot access CT8 teacher entry. Six cards respectively allow eligible A, decline restricted B, reject malformed C, clarify D, preserve E conflict, report F missing. Independent B2 valid; b2/B22/B2; DROP invalid under one-letter room schema. Exact input is not silently trimmed.</w:t>
      </w:r>
    </w:p>
    <w:p>
      <w:pPr>
        <w:spacing w:line="336" w:lineRule="auto" w:after="180"/>
      </w:pPr>
      <w:r>
        <w:rPr>
          <w:b w:val="0"/>
        </w:rPr>
        <w:t>Separate pattern, permissions and source support.</w:t>
      </w:r>
    </w:p>
    <w:p>
      <w:pPr>
        <w:pStyle w:val="Heading2"/>
      </w:pPr>
      <w:r>
        <w:t>Predict, investigate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six complete fictional request cards. Separate format, access, read-only operation and missing-evidence checks; test over-refusal on the ordinary public case and unsafe compliance on restricted or invalid cases. Trace only declared toy behavior, not real external actions.</w:t>
      </w:r>
    </w:p>
    <w:p>
      <w:pPr>
        <w:pStyle w:val="ListNumber"/>
      </w:pPr>
      <w:r>
        <w:t>What did the hardest test teach you that the normal test did not?</w:t>
      </w:r>
    </w:p>
    <w:p>
      <w:pPr>
        <w:pStyle w:val="Heading2"/>
      </w:pPr>
      <w:r>
        <w:t>Keep the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Main misconceptions</w:t>
      </w:r>
    </w:p>
    <w:p>
      <w:pPr>
        <w:spacing w:line="336" w:lineRule="auto" w:after="180"/>
      </w:pPr>
      <w:r>
        <w:rPr>
          <w:b w:val="0"/>
        </w:rPr>
        <w:t>The worked result establishes every future case: A format check does not grant resource access; authorisation follows separately.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Choose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 xml:space="preserve">Stretch secure learners by changing a </w:t>
      </w:r>
      <w:r>
        <w:rPr>
          <w:b/>
        </w:rPr>
        <w:t>boundary</w:t>
      </w:r>
      <w:r>
        <w:rPr>
          <w:b w:val="0"/>
        </w:rPr>
        <w:t xml:space="preserve"> or assumption and asking them to defend the effect, not simply by assigning more of the same questions.</w:t>
      </w:r>
    </w:p>
    <w:p>
      <w:pPr>
        <w:pStyle w:val="Heading2"/>
      </w:pPr>
      <w:r>
        <w:t>Extension misconceptions · reference / check after trying</w:t>
      </w:r>
    </w:p>
    <w:p>
      <w:pPr>
        <w:spacing w:line="336" w:lineRule="auto" w:after="180"/>
      </w:pPr>
      <w:r>
        <w:rPr>
          <w:b w:val="0"/>
        </w:rPr>
        <w:t xml:space="preserve">The worked result establishes every future case: An </w:t>
      </w:r>
      <w:r>
        <w:rPr>
          <w:b/>
        </w:rPr>
        <w:t>abstention</w:t>
      </w:r>
      <w:r>
        <w:rPr>
          <w:b w:val="0"/>
        </w:rPr>
        <w:t xml:space="preserve"> avoids an unsupported answer but does not automatically make a system useful; evaluate appropriate answers and appropriate fallbacks separately.</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main investigation for shared practice. Reserve Classify the fresh room-ID strings independently for the individual first attempt. The named extension has separate tasks and feedback.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Check these misconceptions</w:t>
      </w:r>
    </w:p>
    <w:p>
      <w:pPr>
        <w:pStyle w:val="Heading3"/>
      </w:pPr>
      <w:r>
        <w:t>Match the support to the first error</w:t>
      </w:r>
    </w:p>
    <w:p>
      <w:pPr>
        <w:pStyle w:val="Heading1"/>
      </w:pPr>
      <w:r>
        <w:t>05. Assess the selected main independent task</w:t>
      </w:r>
    </w:p>
    <w:p>
      <w:r>
        <w:t>Reveal its key after the first attempt; extension tasks have their own keys.</w:t>
      </w:r>
    </w:p>
    <w:p>
      <w:pPr>
        <w:pStyle w:val="Heading2"/>
      </w:pPr>
      <w:r>
        <w:t>Selected independent question and key</w:t>
      </w:r>
    </w:p>
    <w:p>
      <w:pPr>
        <w:spacing w:line="336" w:lineRule="auto" w:after="180"/>
      </w:pPr>
      <w:r>
        <w:rPr>
          <w:b w:val="0"/>
        </w:rPr>
        <w:t>Selected case: Classify B2, b2, B22 and B2; DROP under the exact format.</w:t>
      </w:r>
    </w:p>
    <w:p>
      <w:pPr>
        <w:spacing w:line="336" w:lineRule="auto" w:after="180"/>
      </w:pPr>
      <w:r>
        <w:rPr>
          <w:b w:val="0"/>
        </w:rPr>
        <w:t>Teacher explanation: B2 valid; lowercase, extra digit and injected command text invalid. Validation and safe lookup both apply.</w:t>
      </w:r>
    </w:p>
    <w:p>
      <w:pPr>
        <w:pStyle w:val="Heading2"/>
      </w:pPr>
      <w:r>
        <w:t>Judge reasoning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Untrusted input</w:t>
      </w:r>
      <w:r>
        <w:rPr>
          <w:b w:val="0"/>
        </w:rPr>
        <w:t xml:space="preserve"> must be treated according to a contract before reaching code, queries or tools. Data that resembles instructions does not acquire execution authority.</w:t>
      </w:r>
    </w:p>
    <w:p>
      <w:pPr>
        <w:spacing w:line="336" w:lineRule="auto" w:after="180"/>
      </w:pPr>
      <w:r>
        <w:rPr>
          <w:b w:val="0"/>
        </w:rPr>
        <w:t>For the toy lookup accept room IDs matching one uppercase letter plus one digit. Perform exact dictionary lookup; never evaluate user strings as code. Reject invalid length or characters.</w:t>
      </w:r>
    </w:p>
    <w:p>
      <w:pPr>
        <w:pStyle w:val="Heading2"/>
      </w:pPr>
      <w:r>
        <w:t>W2 Trace the worked case</w:t>
      </w:r>
    </w:p>
    <w:p>
      <w:pPr>
        <w:spacing w:line="336" w:lineRule="auto" w:after="180"/>
      </w:pPr>
      <w:r>
        <w:rPr>
          <w:b/>
        </w:rPr>
        <w:t>Input</w:t>
      </w:r>
      <w:r>
        <w:rPr>
          <w:b w:val="0"/>
        </w:rPr>
        <w:t>s A1 and delete_all() are supplied to room lookup. Show the intermediate steps and give the conclusion with its scope.</w:t>
      </w:r>
    </w:p>
    <w:p>
      <w:pPr>
        <w:spacing w:line="336" w:lineRule="auto" w:after="180"/>
      </w:pPr>
      <w:r>
        <w:rPr>
          <w:b w:val="0"/>
        </w:rPr>
        <w:t>Teacher explanation: A1 passes the format; delete_all() fails. Neither is executed as code, including any instruction-shaped string.</w:t>
      </w:r>
    </w:p>
    <w:p>
      <w:pPr>
        <w:pStyle w:val="Heading2"/>
      </w:pPr>
      <w:r>
        <w:t>W3 Audit the limit</w:t>
      </w:r>
    </w:p>
    <w:p>
      <w:pPr>
        <w:spacing w:line="336" w:lineRule="auto" w:after="180"/>
      </w:pPr>
      <w:r>
        <w:rPr>
          <w:b w:val="0"/>
        </w:rPr>
        <w:t>A report omits this qualification: A format check does not grant resource access; authorisation follows separately. Explain how omitting it could change a reader's interpretation, and write an accurate replacement.</w:t>
      </w:r>
    </w:p>
    <w:p>
      <w:pPr>
        <w:spacing w:line="336" w:lineRule="auto" w:after="180"/>
      </w:pPr>
      <w:r>
        <w:rPr>
          <w:b w:val="0"/>
        </w:rPr>
        <w:t>Teacher explanation: A format check does not grant resource access; authorisation follows separately.</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w:t>
      </w:r>
      <w:r>
        <w:rPr>
          <w:b/>
        </w:rPr>
        <w:t>boundary</w:t>
      </w:r>
      <w:r>
        <w:rPr>
          <w:b w:val="0"/>
        </w:rPr>
        <w:t xml:space="preserve">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format check does not grant resource access; authorisation follows separately.</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Extension questions and keys · reference / check after trying</w:t>
      </w:r>
    </w:p>
    <w:p>
      <w:pPr>
        <w:pStyle w:val="Heading3"/>
      </w:pPr>
      <w:r>
        <w:t>Abstention and clarification — 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Abstention</w:t>
      </w:r>
      <w:r>
        <w:rPr>
          <w:b w:val="0"/>
        </w:rPr>
        <w:t xml:space="preserve"> and </w:t>
      </w:r>
      <w:r>
        <w:rPr>
          <w:b/>
        </w:rPr>
        <w:t>clarification</w:t>
      </w:r>
      <w:r>
        <w:rPr>
          <w:b w:val="0"/>
        </w:rPr>
        <w:t xml:space="preserve"> are valid responses when necessary </w:t>
      </w:r>
      <w:r>
        <w:rPr>
          <w:b/>
        </w:rPr>
        <w:t>evidence</w:t>
      </w:r>
      <w:r>
        <w:rPr>
          <w:b w:val="0"/>
        </w:rPr>
        <w:t xml:space="preserve"> is missing. Ask for the smallest fact that can resolve the decision. Separate answerable claims from unresolved ones.</w:t>
      </w:r>
    </w:p>
    <w:p>
      <w:pPr>
        <w:spacing w:line="336" w:lineRule="auto" w:after="180"/>
      </w:pPr>
      <w:r>
        <w:rPr>
          <w:b w:val="0"/>
        </w:rPr>
        <w:t xml:space="preserve">Clarify ambiguous </w:t>
      </w:r>
      <w:r>
        <w:rPr>
          <w:b/>
        </w:rPr>
        <w:t>input</w:t>
      </w:r>
      <w:r>
        <w:rPr>
          <w:b w:val="0"/>
        </w:rPr>
        <w:t xml:space="preserve"> when a user can supply the needed fact; abstain from unsupported conclusions when </w:t>
      </w:r>
      <w:r>
        <w:rPr>
          <w:b/>
        </w:rPr>
        <w:t>evidence</w:t>
      </w:r>
      <w:r>
        <w:rPr>
          <w:b w:val="0"/>
        </w:rPr>
        <w:t xml:space="preserve"> is unavailable. Define acceptable fallback before evaluation.</w:t>
      </w:r>
    </w:p>
    <w:p>
      <w:pPr>
        <w:pStyle w:val="Heading3"/>
      </w:pPr>
      <w:r>
        <w:t>Abstention and clarification — W2 Trace the worked case</w:t>
      </w:r>
    </w:p>
    <w:p>
      <w:pPr>
        <w:spacing w:line="336" w:lineRule="auto" w:after="180"/>
      </w:pPr>
      <w:r>
        <w:rPr>
          <w:b w:val="0"/>
        </w:rPr>
        <w:t>Approval names room B, but two registers give capacities 8 and 12 with no precedence rule. The question asks maximum attendance. Show the intermediate steps and give the conclusion with its scope.</w:t>
      </w:r>
    </w:p>
    <w:p>
      <w:pPr>
        <w:spacing w:line="336" w:lineRule="auto" w:after="180"/>
      </w:pPr>
      <w:r>
        <w:rPr>
          <w:b w:val="0"/>
        </w:rPr>
        <w:t>Teacher explanation: Do not pick the larger or smaller value as established fact. Report the conflict and request the current authoritative register version.</w:t>
      </w:r>
    </w:p>
    <w:p>
      <w:pPr>
        <w:pStyle w:val="Heading3"/>
      </w:pPr>
      <w:r>
        <w:t>Abstention and clarification — W3 Audit the limit</w:t>
      </w:r>
    </w:p>
    <w:p>
      <w:pPr>
        <w:spacing w:line="336" w:lineRule="auto" w:after="180"/>
      </w:pPr>
      <w:r>
        <w:rPr>
          <w:b w:val="0"/>
        </w:rPr>
        <w:t xml:space="preserve">A report omits this qualification: An </w:t>
      </w:r>
      <w:r>
        <w:rPr>
          <w:b/>
        </w:rPr>
        <w:t>abstention</w:t>
      </w:r>
      <w:r>
        <w:rPr>
          <w:b w:val="0"/>
        </w:rPr>
        <w:t xml:space="preserve"> avoids an unsupported answer but does not automatically make a system useful; evaluate appropriate answers and appropriate fallbacks separately.</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An </w:t>
      </w:r>
      <w:r>
        <w:rPr>
          <w:b/>
        </w:rPr>
        <w:t>abstention</w:t>
      </w:r>
      <w:r>
        <w:rPr>
          <w:b w:val="0"/>
        </w:rPr>
        <w:t xml:space="preserve"> avoids an unsupported answer but does not automatically make a system useful; evaluate appropriate answers and appropriate fallbacks separately.</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Abstention and clarification — W4 Apply a new case independently</w:t>
      </w:r>
    </w:p>
    <w:p>
      <w:pPr>
        <w:spacing w:line="336" w:lineRule="auto" w:after="180"/>
      </w:pPr>
      <w:r>
        <w:rPr>
          <w:b w:val="0"/>
        </w:rPr>
        <w:t>The request says use the hall, but approved rooms include H1 and H2 with different capacities. No hall ID is given. What question should be asked?</w:t>
      </w:r>
    </w:p>
    <w:p>
      <w:pPr>
        <w:spacing w:line="336" w:lineRule="auto" w:after="180"/>
      </w:pPr>
      <w:r>
        <w:rPr>
          <w:b w:val="0"/>
        </w:rPr>
        <w:t>Teacher explanation: Ask which hall ID the request refers to, then match its approval and capacity. Do not guess from the available capacities.</w:t>
      </w:r>
    </w:p>
    <w:p>
      <w:pPr>
        <w:pStyle w:val="Heading3"/>
      </w:pPr>
      <w:r>
        <w:t>Abstention and clarification — 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w:t>
      </w:r>
      <w:r>
        <w:rPr>
          <w:b/>
        </w:rPr>
        <w:t>boundary</w:t>
      </w:r>
      <w:r>
        <w:rPr>
          <w:b w:val="0"/>
        </w:rPr>
        <w:t xml:space="preserve">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An </w:t>
      </w:r>
      <w:r>
        <w:rPr>
          <w:b/>
        </w:rPr>
        <w:t>abstention</w:t>
      </w:r>
      <w:r>
        <w:rPr>
          <w:b w:val="0"/>
        </w:rPr>
        <w:t xml:space="preserve"> avoids an unsupported answer but does not automatically make a system useful; evaluate appropriate answers and appropriate fallbacks separately.</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A classroom study tool should not decide individual treatment. Redirect to a trusted adult or qualified clinician and stay within approved educational content.</w:t>
      </w:r>
    </w:p>
    <w:p>
      <w:pPr>
        <w:pStyle w:val="Heading3"/>
      </w:pPr>
      <w:r>
        <w:t>Additional transfer practice</w:t>
      </w:r>
    </w:p>
    <w:p>
      <w:pPr>
        <w:spacing w:line="336" w:lineRule="auto" w:after="180"/>
      </w:pPr>
      <w:r>
        <w:rPr>
          <w:b w:val="0"/>
        </w:rPr>
        <w:t xml:space="preserve">A study tool is asked to make a high-stakes personal decision outside its learning purpose. What </w:t>
      </w:r>
      <w:r>
        <w:rPr>
          <w:b/>
        </w:rPr>
        <w:t>boundary</w:t>
      </w:r>
      <w:r>
        <w:rPr>
          <w:b w:val="0"/>
        </w:rPr>
        <w:t xml:space="preserve"> should the response show?</w:t>
      </w:r>
    </w:p>
    <w:p>
      <w:pPr>
        <w:pStyle w:val="Heading3"/>
      </w:pPr>
      <w:r>
        <w:t>Reasoned practice answer</w:t>
      </w:r>
    </w:p>
    <w:p>
      <w:pPr>
        <w:spacing w:line="336" w:lineRule="auto" w:after="180"/>
      </w:pPr>
      <w:r>
        <w:rPr>
          <w:b w:val="0"/>
        </w:rPr>
        <w:t>Explain the limitation, avoid making the decision, and direct the learner to an appropriate trusted human while offering relevant general educational help.</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helpful assistant should make every decision the user requests.” Keep the first attempt and an uncoached retry separate.</w:t>
      </w:r>
    </w:p>
    <w:p>
      <w:pPr>
        <w:pStyle w:val="Heading3"/>
      </w:pPr>
      <w:r>
        <w:t>Original transfer answer</w:t>
      </w:r>
    </w:p>
    <w:p>
      <w:pPr>
        <w:spacing w:line="336" w:lineRule="auto" w:after="180"/>
      </w:pPr>
      <w:r>
        <w:rPr>
          <w:b w:val="0"/>
        </w:rPr>
        <w:t>It should not provide an individual dose; direct the user to a trusted adult and qualified healthcare professional and return to approved study content.</w:t>
      </w:r>
    </w:p>
    <w:p>
      <w:pPr>
        <w:spacing w:line="336" w:lineRule="auto" w:after="180"/>
      </w:pPr>
      <w:r>
        <w:rPr>
          <w:b w:val="0"/>
        </w:rPr>
        <w:t>The tool lacks the authority and context for personal treatment decisions; confidence does not establish suitability.</w:t>
      </w:r>
    </w:p>
    <w:p>
      <w:pPr>
        <w:pStyle w:val="Heading3"/>
      </w:pPr>
      <w:r>
        <w:t>Explanations for the additional workbook examples</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Classify B2, b2, B22 and B2; DROP under the exact format.</w:t>
      </w:r>
    </w:p>
    <w:p>
      <w:pPr>
        <w:spacing w:line="336" w:lineRule="auto" w:after="180"/>
      </w:pPr>
      <w:r>
        <w:rPr>
          <w:b w:val="0"/>
        </w:rPr>
        <w:t>Teacher explanation: B2 valid; lowercase, extra digit and injected command text invalid. Validation and safe lookup both apply.</w:t>
      </w:r>
    </w:p>
    <w:p>
      <w:pPr>
        <w:pStyle w:val="Heading3"/>
      </w:pPr>
      <w:r>
        <w:t>W5 Design a revealing follow-up</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return</w:t>
      </w:r>
    </w:p>
    <w:p>
      <w:r>
        <w:t>Keep main and extension assessment evidence distinguishable.</w:t>
      </w:r>
    </w:p>
    <w:p>
      <w:pPr>
        <w:pStyle w:val="Heading2"/>
      </w:pPr>
      <w:r>
        <w:t>Project record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Main support and fresh 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B2 valid; lowercase, extra digit and injected command text invalid. Validation and safe lookup both apply. Require intermediate reasoning and the stated scope. Fresh retry: </w:t>
      </w:r>
      <w:r>
        <w:rPr>
          <w:b/>
        </w:rPr>
        <w:t>Input</w:t>
      </w:r>
      <w:r>
        <w:rPr>
          <w:b w:val="0"/>
        </w:rPr>
        <w:t>s Z9 and Z9 followed by a newline.</w:t>
      </w:r>
    </w:p>
    <w:p>
      <w:pPr>
        <w:spacing w:line="336" w:lineRule="auto" w:after="180"/>
      </w:pPr>
      <w:r>
        <w:rPr>
          <w:b w:val="0"/>
        </w:rPr>
        <w:t>Expected reasoning: Z9 valid; extra newline fails exact full-match policy. Do not silently trim unless specified.</w:t>
      </w:r>
    </w:p>
    <w:p>
      <w:pPr>
        <w:spacing w:line="336" w:lineRule="auto" w:after="180"/>
      </w:pPr>
      <w:r>
        <w:rPr>
          <w:b w:val="0"/>
        </w:rPr>
        <w:t>If students need support, record it and reassess with another new case rather than awarding independence to a copied answer.</w:t>
      </w:r>
    </w:p>
    <w:p>
      <w:pPr>
        <w:pStyle w:val="Heading2"/>
      </w:pPr>
      <w:r>
        <w:t>Delayed return</w:t>
      </w:r>
    </w:p>
    <w:p>
      <w:pPr>
        <w:spacing w:line="336" w:lineRule="auto" w:after="180"/>
      </w:pPr>
      <w:r>
        <w:rPr>
          <w:b w:val="0"/>
        </w:rPr>
        <w:t>Suggested return points in this level: ai-3/32, ai-3/34.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32: Human + AI Workflow. Retrieve today’s </w:t>
      </w:r>
      <w:r>
        <w:rPr>
          <w:b/>
        </w:rPr>
        <w:t>evidence</w:t>
      </w:r>
      <w:r>
        <w:rPr>
          <w:b w:val="0"/>
        </w:rPr>
        <w:t xml:space="preserve"> and identify what carries forward and what is new.</w:t>
      </w:r>
    </w:p>
    <w:p>
      <w:pPr>
        <w:spacing w:line="336" w:lineRule="auto" w:after="180"/>
      </w:pPr>
      <w:r>
        <w:rPr>
          <w:b w:val="0"/>
        </w:rPr>
        <w:t>Next is Week 32: Human AI Workflow. Carry forward precise allow/clarify/review/decline rules when assigning a person responsibility for unresolved or consequential decisions.</w:t>
      </w:r>
    </w:p>
    <w:p>
      <w:pPr>
        <w:pStyle w:val="Heading2"/>
      </w:pPr>
      <w:r>
        <w:t>Extension support and reassessment · reference / check after trying</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W4: Ask which hall ID the request refers to, then match its approval and capacity. Do not guess from the available capacities. Require intermediate reasoning and the stated scope.</w:t>
      </w:r>
    </w:p>
    <w:p>
      <w:pPr>
        <w:spacing w:line="336" w:lineRule="auto" w:after="180"/>
      </w:pPr>
      <w:r>
        <w:rPr>
          <w:b w:val="0"/>
        </w:rPr>
        <w:t xml:space="preserve">Fresh retry: Two approved labs L1, L2 and user says the lab. Capacity differs. Expected reasoning: Ask for lab ID. A targeted </w:t>
      </w:r>
      <w:r>
        <w:rPr>
          <w:b/>
        </w:rPr>
        <w:t>clarification</w:t>
      </w:r>
      <w:r>
        <w:rPr>
          <w:b w:val="0"/>
        </w:rPr>
        <w:t xml:space="preserve"> resolves ambiguity; a generic demand for all records is unnecessary.</w:t>
      </w:r>
    </w:p>
    <w:p>
      <w:pPr>
        <w:spacing w:line="336" w:lineRule="auto" w:after="180"/>
      </w:pPr>
      <w:r>
        <w:rPr>
          <w:b w:val="0"/>
        </w:rPr>
        <w:t>If students need support, record it and reassess with another new case rather than awarding independence to a copied answer.</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spacing w:line="336" w:lineRule="auto" w:after="180"/>
      </w:pPr>
      <w:r>
        <w:rPr>
          <w:b w:val="0"/>
        </w:rPr>
        <w:t xml:space="preserve">Implement risk levels, </w:t>
      </w:r>
      <w:r>
        <w:rPr>
          <w:b/>
        </w:rPr>
        <w:t>refusal</w:t>
      </w:r>
      <w:r>
        <w:rPr>
          <w:b w:val="0"/>
        </w:rPr>
        <w:t xml:space="preserve"> language, safe alternatives, and teacher-review gates.</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pStyle w:val="Heading3"/>
      </w:pPr>
      <w:r>
        <w:t>Bridge to the next week</w:t>
      </w:r>
    </w:p>
    <w:p>
      <w:pPr>
        <w:pStyle w:val="Heading3"/>
      </w:pPr>
      <w:r>
        <w:t>Support and fresh reassessment</w:t>
      </w:r>
    </w:p>
    <w:p>
      <w:pPr>
        <w:pStyle w:val="Heading3"/>
      </w:pPr>
      <w:r>
        <w:t>Readiness and reassessment for Abstention and clarification</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teaching checklist</w:t>
      </w:r>
    </w:p>
    <w:p>
      <w:r>
        <w:t>Use as a reminder alongside the main route.</w:t>
      </w:r>
    </w:p>
    <w:p>
      <w:pPr>
        <w:pStyle w:val="Heading2"/>
      </w:pPr>
      <w:r>
        <w:t>Planning reference</w:t>
      </w:r>
    </w:p>
    <w:p>
      <w:pPr>
        <w:spacing w:line="336" w:lineRule="auto" w:after="180"/>
      </w:pPr>
      <w:r>
        <w:rPr>
          <w:b w:val="0"/>
        </w:rPr>
        <w:t xml:space="preserve">Teaching target: Explain the </w:t>
      </w:r>
      <w:r>
        <w:rPr>
          <w:b/>
        </w:rPr>
        <w:t>mechanism</w:t>
      </w:r>
      <w:r>
        <w:rPr>
          <w:b w:val="0"/>
        </w:rPr>
        <w:t xml:space="preserve"> and terminology of </w:t>
      </w:r>
      <w:r>
        <w:rPr>
          <w:b/>
        </w:rPr>
        <w:t>untrusted input</w:t>
      </w:r>
      <w:r>
        <w:rPr>
          <w:b w:val="0"/>
        </w:rPr>
        <w:t xml:space="preserve"> boundaries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w:t>
      </w:r>
      <w:r>
        <w:rPr>
          <w:b/>
        </w:rPr>
        <w:t>Input</w:t>
      </w:r>
      <w:r>
        <w:rPr>
          <w:b w:val="0"/>
        </w:rPr>
        <w:t>s A1 and delete_all() are supplied to room lookup. Show the intermediate steps and give the conclusion with its scope.</w:t>
      </w:r>
    </w:p>
    <w:p>
      <w:pPr>
        <w:spacing w:line="336" w:lineRule="auto" w:after="180"/>
      </w:pPr>
      <w:r>
        <w:rPr>
          <w:b w:val="0"/>
        </w:rPr>
        <w:t>Reasoned practice answer: Teacher explanation: A1 passes the format; delete_all() fails. Neither is executed as code, including any instruction-shaped string.</w:t>
      </w:r>
    </w:p>
    <w:p>
      <w:pPr>
        <w:spacing w:line="336" w:lineRule="auto" w:after="180"/>
      </w:pPr>
      <w:r>
        <w:rPr>
          <w:b w:val="0"/>
        </w:rPr>
        <w:t xml:space="preserve">Check every learner before discussion: Use the worked case for </w:t>
      </w:r>
      <w:r>
        <w:rPr>
          <w:b/>
        </w:rPr>
        <w:t>Untrusted input</w:t>
      </w:r>
      <w:r>
        <w:rPr>
          <w:b w:val="0"/>
        </w:rPr>
        <w:t xml:space="preserve"> boundaries.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format check does not grant resource access; authorisation follows separately.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AB7 to Ab7. Require a </w:t>
      </w:r>
      <w:r>
        <w:rPr>
          <w:b/>
        </w:rPr>
        <w:t>prediction</w:t>
      </w:r>
      <w:r>
        <w:rPr>
          <w:b w:val="0"/>
        </w:rPr>
        <w:t xml:space="preserve"> and a reason before comparing. Expected result: Reject it under the exact uppercase rule.</w:t>
      </w:r>
    </w:p>
    <w:p>
      <w:pPr>
        <w:spacing w:line="336" w:lineRule="auto" w:after="180"/>
      </w:pPr>
      <w:r>
        <w:rPr>
          <w:b w:val="0"/>
        </w:rPr>
        <w:t>Reason: Lowercase b fails the declared pattern even though the identifier looks similar.</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retained evidence</w:t>
      </w:r>
    </w:p>
    <w:p>
      <w:r>
        <w:t>Keep supported practice separate from independent evidence.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w:t>
      </w:r>
      <w:r>
        <w:rPr>
          <w:b/>
        </w:rPr>
        <w:t>boundary</w:t>
      </w:r>
      <w:r>
        <w:rPr>
          <w:b w:val="0"/>
        </w:rPr>
        <w:t xml:space="preserve"> and indexing lessons deliberately include failure cases.</w:t>
      </w:r>
    </w:p>
    <w:p>
      <w:pPr>
        <w:pStyle w:val="Heading1"/>
      </w:pPr>
      <w:r>
        <w:t>09. Reference · Teach with the six pictures</w:t>
      </w:r>
    </w:p>
    <w:p>
      <w:r>
        <w:t>Choose a picture for a specific explanation.</w:t>
      </w:r>
    </w:p>
    <w:p>
      <w:pPr>
        <w:pStyle w:val="Heading2"/>
      </w:pPr>
      <w:r>
        <w:t>01. Safety Boundaries: the case</w:t>
      </w:r>
    </w:p>
    <w:p>
      <w:r>
        <w:drawing>
          <wp:inline xmlns:a="http://schemas.openxmlformats.org/drawingml/2006/main" xmlns:pic="http://schemas.openxmlformats.org/drawingml/2006/picture">
            <wp:extent cx="5486400" cy="3142488"/>
            <wp:docPr id="3" name="Picture 3" descr="Make a strict lookup identifier boundary visible. Supplied facts: Toy lookup accepts exactly two uppercase ASCII letters followed by one digit. Accepted example: AB7. No trimming or extra characters are allow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1-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Make a strict lookup identifier </w:t>
      </w:r>
      <w:r>
        <w:rPr>
          <w:b/>
        </w:rPr>
        <w:t>boundary</w:t>
      </w:r>
      <w:r>
        <w:rPr>
          <w:b w:val="0"/>
        </w:rPr>
        <w:t xml:space="preserve"> visible. Supplied facts: Toy lookup accepts exactly two uppercase ASCII letters followed by one digit. Accepted example: AB7. No trimming or extra characters are allowed.</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4" name="Picture 4" descr="Check pattern: AB7 has two permitted letters and one digit, with no extra characters. → Reject extra text: AB7; send() violates the exact identifier pattern. → Separate authority: Pattern acceptance only allows the next lookup check; it grants no access to restricted records."/>
            <wp:cNvGraphicFramePr>
              <a:graphicFrameLocks noChangeAspect="1"/>
            </wp:cNvGraphicFramePr>
            <a:graphic>
              <a:graphicData uri="http://schemas.openxmlformats.org/drawingml/2006/picture">
                <pic:pic>
                  <pic:nvPicPr>
                    <pic:cNvPr id="0" name="academy-story-ai-3-31-02.png"/>
                    <pic:cNvPicPr/>
                  </pic:nvPicPr>
                  <pic:blipFill>
                    <a:blip r:embed="rId9"/>
                    <a:stretch>
                      <a:fillRect/>
                    </a:stretch>
                  </pic:blipFill>
                  <pic:spPr>
                    <a:xfrm>
                      <a:off x="0" y="0"/>
                      <a:ext cx="5486400" cy="3337560"/>
                    </a:xfrm>
                    <a:prstGeom prst="rect"/>
                  </pic:spPr>
                </pic:pic>
              </a:graphicData>
            </a:graphic>
          </wp:inline>
        </w:drawing>
      </w:r>
    </w:p>
    <w:p>
      <w:pPr>
        <w:spacing w:line="336" w:lineRule="auto" w:after="180"/>
      </w:pPr>
      <w:r>
        <w:rPr>
          <w:b w:val="0"/>
        </w:rPr>
        <w:t>Check pattern: AB7 has two permitted letters and one digit, with no extra characters. → Reject extra text: AB7; send() violates the exact identifier pattern. → Separate authority: Pattern acceptance only allows the next lookup check; it grants no access to restricted records.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Untrusted input boundaries — evidence trace</w:t>
      </w:r>
    </w:p>
    <w:p>
      <w:r>
        <w:drawing>
          <wp:inline xmlns:a="http://schemas.openxmlformats.org/drawingml/2006/main" xmlns:pic="http://schemas.openxmlformats.org/drawingml/2006/picture">
            <wp:extent cx="5486400" cy="2996184"/>
            <wp:docPr id="5" name="Picture 5" descr="Untrusted input boundaries — evidence trace. Inputs A1 and delete_all() are supplied to room lookup. | For the toy lookup accept room IDs matching one uppercase letter plus one digit. Perform exact dictionary lookup; never evaluate user strings as code. Reject invalid length or characters. | A1 passes the format; delete_all() fails. Neither is executed as code, including any instruction-shaped string."/>
            <wp:cNvGraphicFramePr>
              <a:graphicFrameLocks noChangeAspect="1"/>
            </wp:cNvGraphicFramePr>
            <a:graphic>
              <a:graphicData uri="http://schemas.openxmlformats.org/drawingml/2006/picture">
                <pic:pic>
                  <pic:nvPicPr>
                    <pic:cNvPr id="0" name="academy-story-ai-3-31-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Untrusted input</w:t>
      </w:r>
      <w:r>
        <w:rPr>
          <w:b w:val="0"/>
        </w:rPr>
        <w:t xml:space="preserve"> boundaries — </w:t>
      </w:r>
      <w:r>
        <w:rPr>
          <w:b/>
        </w:rPr>
        <w:t>evidence</w:t>
      </w:r>
      <w:r>
        <w:rPr>
          <w:b w:val="0"/>
        </w:rPr>
        <w:t xml:space="preserve"> trace. </w:t>
      </w:r>
      <w:r>
        <w:rPr>
          <w:b/>
        </w:rPr>
        <w:t>Input</w:t>
      </w:r>
      <w:r>
        <w:rPr>
          <w:b w:val="0"/>
        </w:rPr>
        <w:t>s A1 and delete_all() are supplied to room lookup. | For the toy lookup accept room IDs matching one uppercase letter plus one digit.</w:t>
      </w:r>
    </w:p>
    <w:p>
      <w:pPr>
        <w:spacing w:line="336" w:lineRule="auto" w:after="180"/>
      </w:pPr>
      <w:r>
        <w:rPr>
          <w:b w:val="0"/>
        </w:rPr>
        <w:t>Perform exact dictionary lookup; never evaluate user strings as code. Reject invalid length or characters. | A1 passes the format; delete_all() fails. Neither is executed as code, including any instruction-shaped string.</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41904"/>
            <wp:docPr id="6" name="Picture 6" descr="Original case: Pattern acceptance only allows the next lookup check; it grants no access to restricted records. Changed condition: Change AB7 to Ab7. Expected result: Reject it under the exact uppercase rule. Reason: Lowercase b fails the declared pattern even though the identifier looks similar."/>
            <wp:cNvGraphicFramePr>
              <a:graphicFrameLocks noChangeAspect="1"/>
            </wp:cNvGraphicFramePr>
            <a:graphic>
              <a:graphicData uri="http://schemas.openxmlformats.org/drawingml/2006/picture">
                <pic:pic>
                  <pic:nvPicPr>
                    <pic:cNvPr id="0" name="academy-story-ai-3-31-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Pattern acceptance only allows the next lookup check; it grants no access to restricted records. Changed condition: Change AB7 to Ab7. Expected result: Reject it under the exact uppercase rule.</w:t>
      </w:r>
    </w:p>
    <w:p>
      <w:pPr>
        <w:spacing w:line="336" w:lineRule="auto" w:after="180"/>
      </w:pPr>
      <w:r>
        <w:rPr>
          <w:b w:val="0"/>
        </w:rPr>
        <w:t>Reason: Lowercase b fails the declared pattern even though the identifier looks similar.</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Lowercase b fails the declared pattern even though the identifier looks similar.</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Read the picture in order. Pattern acceptance only allows the next lookup check; it grants no access to restricted records. The arrows show which recorded input or intermediate result each decision uses. Explain the deciding step aloud before checking the changed case; pointing to the final answer alone does not show how it follows. Limit: Strict formatting is one boundary; it does not solve every injection or authorisation problem."/>
            <wp:cNvGraphicFramePr>
              <a:graphicFrameLocks noChangeAspect="1"/>
            </wp:cNvGraphicFramePr>
            <a:graphic>
              <a:graphicData uri="http://schemas.openxmlformats.org/drawingml/2006/picture">
                <pic:pic>
                  <pic:nvPicPr>
                    <pic:cNvPr id="0" name="academy-story-ai-3-3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Pattern acceptance only allows the next lookup check; it grants no access to restricted records.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Strict formatting is one </w:t>
      </w:r>
      <w:r>
        <w:rPr>
          <w:b/>
        </w:rPr>
        <w:t>boundary</w:t>
      </w:r>
      <w:r>
        <w:rPr>
          <w:b w:val="0"/>
        </w:rPr>
        <w:t>; it does not solve every injection or authorisation problem.</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Strict formatting is one </w:t>
      </w:r>
      <w:r>
        <w:rPr>
          <w:b/>
        </w:rPr>
        <w:t>boundary</w:t>
      </w:r>
      <w:r>
        <w:rPr>
          <w:b w:val="0"/>
        </w:rPr>
        <w:t>; it does not solve every injection or authorisation problem.</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If AB7 passes the pattern, may it access teacher-only material?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If AB7 passes the pattern, may it access teacher-only material?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Not from pattern validity alone. The server must separately enforce the authenticated user’s access rights. Changed-case check: Reject it under the exact uppercase rule.</w:t>
      </w:r>
    </w:p>
    <w:p>
      <w:pPr>
        <w:spacing w:line="336" w:lineRule="auto" w:after="180"/>
      </w:pPr>
      <w:r>
        <w:rPr>
          <w:b w:val="0"/>
        </w:rPr>
        <w:t>Lowercase b fails the declared pattern even though the identifier looks similar.</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Safety Boundaries: the case</w:t>
      </w:r>
    </w:p>
    <w:p>
      <w:pPr>
        <w:pStyle w:val="Heading3"/>
      </w:pPr>
      <w:r>
        <w:t>02. Follow the deciding steps</w:t>
      </w:r>
    </w:p>
    <w:p>
      <w:pPr>
        <w:pStyle w:val="Heading3"/>
      </w:pPr>
      <w:r>
        <w:t>03. Untrusted input boundaries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