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ai-4/30</w:t>
      </w:r>
    </w:p>
    <w:p>
      <w:pPr>
        <w:pStyle w:val="Title"/>
      </w:pPr>
      <w:r>
        <w:t>Improve Generalization</w:t>
      </w:r>
    </w:p>
    <w:p>
      <w:r>
        <w:t>Project: Responsible Plant Classifier</w:t>
      </w:r>
    </w:p>
    <w:p>
      <w:pPr>
        <w:pStyle w:val="Heading1"/>
      </w:pPr>
      <w:r>
        <w:t>Teach a real controlled trial rather than repeated capacity summaries.</w:t>
      </w:r>
    </w:p>
    <w:p>
      <w:r>
        <w:t>Supply the complete executable toy learner,source groups and outputs;preserve older capacity tasks and their saved responses as review.</w:t>
      </w:r>
    </w:p>
    <w:p>
      <w:r>
        <w:t>Assess the current investigation plan and require fresh evidence before a broad or final claim.</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Plan one </w:t>
      </w:r>
      <w:r>
        <w:rPr>
          <w:b/>
        </w:rPr>
        <w:t>evidence</w:t>
      </w:r>
      <w:r>
        <w:rPr>
          <w:b w:val="0"/>
        </w:rPr>
        <w:t>-led change and test it on source-separated validation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Use the complete original/crossed training cards and two-plant/four-view validation fixture. Teach one declared data addition with learner,feature candidates,tie rule and validation membership fixed. Earlier </w:t>
      </w:r>
      <w:r>
        <w:rPr>
          <w:b/>
        </w:rPr>
        <w:t>overfitting</w:t>
      </w:r>
      <w:r>
        <w:rPr>
          <w:b w:val="0"/>
        </w:rPr>
        <w:t xml:space="preserve"> examples remain review;distribution-shift comparisons remain a named extension. No biological or final-test claim is supplied.</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No; it may fit peculiarities of the </w:t>
      </w:r>
      <w:r>
        <w:rPr>
          <w:b/>
        </w:rPr>
        <w:t>training</w:t>
      </w:r>
      <w:r>
        <w:rPr>
          <w:b w:val="0"/>
        </w:rPr>
        <w:t xml:space="preserve"> sample.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Distribution shift</w:t>
      </w:r>
    </w:p>
    <w:p>
      <w:pPr>
        <w:spacing w:line="336" w:lineRule="auto" w:after="180"/>
      </w:pPr>
      <w:r>
        <w:rPr>
          <w:b w:val="0"/>
        </w:rPr>
        <w:t xml:space="preserve">Teach two 45-minute sessions. This week focuses on </w:t>
      </w:r>
      <w:r>
        <w:rPr>
          <w:b/>
        </w:rPr>
        <w:t>distribution shift</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Performance may differ when </w:t>
      </w:r>
      <w:r>
        <w:rPr>
          <w:b/>
        </w:rPr>
        <w:t>input</w:t>
      </w:r>
      <w:r>
        <w:rPr>
          <w:b w:val="0"/>
        </w:rPr>
        <w:t>s, labels or conditions change.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spacing w:line="336" w:lineRule="auto" w:after="180"/>
      </w:pPr>
      <w:r>
        <w:rPr>
          <w:b w:val="0"/>
        </w:rPr>
        <w:t xml:space="preserve">Without opening the old lesson, explain one key idea from </w:t>
      </w:r>
      <w:r>
        <w:rPr>
          <w:b/>
        </w:rPr>
        <w:t>Overfitting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pStyle w:val="Heading2"/>
      </w:pPr>
      <w:r>
        <w:t>End goal</w:t>
      </w:r>
    </w:p>
    <w:p>
      <w:pPr>
        <w:spacing w:line="336" w:lineRule="auto" w:after="180"/>
      </w:pPr>
      <w:r>
        <w:rPr>
          <w:b w:val="0"/>
        </w:rPr>
        <w:t xml:space="preserve">By the end, I can explain improve </w:t>
      </w:r>
      <w:r>
        <w:rPr>
          <w:b/>
        </w:rPr>
        <w:t>generalization</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Feature Engineering</w:t>
      </w:r>
    </w:p>
    <w:p>
      <w:pPr>
        <w:pStyle w:val="Heading3"/>
      </w:pPr>
      <w:r>
        <w:t>Overfitting</w:t>
      </w:r>
    </w:p>
    <w:p>
      <w:pPr>
        <w:pStyle w:val="Heading3"/>
      </w:pPr>
      <w:r>
        <w:t>Train, Validation, Test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3"/>
      </w:pPr>
      <w:r>
        <w:t>Concept to explain</w:t>
      </w:r>
    </w:p>
    <w:p>
      <w:pPr>
        <w:spacing w:line="336" w:lineRule="auto" w:after="180"/>
      </w:pPr>
      <w:r>
        <w:rPr>
          <w:b w:val="0"/>
        </w:rPr>
        <w:t>Different failure causes require different repairs: simplicity, representative data, regularization, or better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generalization</w:t>
            </w:r>
          </w:p>
        </w:tc>
        <w:tc>
          <w:tcPr>
            <w:tcW w:type="dxa" w:w="5112"/>
          </w:tcPr>
          <w:p>
            <w:r>
              <w:t>performance beyond training examples</w:t>
            </w:r>
          </w:p>
        </w:tc>
      </w:tr>
      <w:tr>
        <w:tc>
          <w:tcPr>
            <w:tcW w:type="dxa" w:w="5112"/>
          </w:tcPr>
          <w:p>
            <w:r>
              <w:t>controlled change</w:t>
            </w:r>
          </w:p>
        </w:tc>
        <w:tc>
          <w:tcPr>
            <w:tcW w:type="dxa" w:w="5112"/>
          </w:tcPr>
          <w:p>
            <w:r>
              <w:t>one planned modification</w:t>
            </w:r>
          </w:p>
        </w:tc>
      </w:tr>
      <w:tr>
        <w:tc>
          <w:tcPr>
            <w:tcW w:type="dxa" w:w="5112"/>
          </w:tcPr>
          <w:p>
            <w:r>
              <w:t>ablation</w:t>
            </w:r>
          </w:p>
        </w:tc>
        <w:tc>
          <w:tcPr>
            <w:tcW w:type="dxa" w:w="5112"/>
          </w:tcPr>
          <w:p>
            <w:r>
              <w:t>remove one element to measure its effect</w:t>
            </w:r>
          </w:p>
        </w:tc>
      </w:tr>
      <w:tr>
        <w:tc>
          <w:tcPr>
            <w:tcW w:type="dxa" w:w="5112"/>
          </w:tcPr>
          <w:p>
            <w:r>
              <w:t>regression test</w:t>
            </w:r>
          </w:p>
        </w:tc>
        <w:tc>
          <w:tcPr>
            <w:tcW w:type="dxa" w:w="5112"/>
          </w:tcPr>
          <w:p>
            <w:r>
              <w:t>protect previously passing behavior</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complete evidence-led improvement trial</w:t>
      </w:r>
    </w:p>
    <w:p>
      <w:r>
        <w:t>The learner’s changed feature choice is inspectable without claiming a real plant-health model.</w:t>
      </w:r>
    </w:p>
    <w:p>
      <w:pPr>
        <w:pStyle w:val="Heading2"/>
      </w:pPr>
      <w:r>
        <w:t>Complete training/validation records and contract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plant ID</w:t>
            </w:r>
          </w:p>
        </w:tc>
        <w:tc>
          <w:tcPr>
            <w:tcW w:type="dxa" w:w="2556"/>
          </w:tcPr>
          <w:p>
            <w:r>
              <w:t>Background red?</w:t>
            </w:r>
          </w:p>
        </w:tc>
        <w:tc>
          <w:tcPr>
            <w:tcW w:type="dxa" w:w="2556"/>
          </w:tcPr>
          <w:p>
            <w:r>
              <w:t>Available leaf marker?</w:t>
            </w:r>
          </w:p>
        </w:tc>
        <w:tc>
          <w:tcPr>
            <w:tcW w:type="dxa" w:w="2556"/>
          </w:tcPr>
          <w:p>
            <w:r>
              <w:t>Toy spotted label</w:t>
            </w:r>
          </w:p>
        </w:tc>
      </w:tr>
      <w:tr>
        <w:tc>
          <w:tcPr>
            <w:tcW w:type="dxa" w:w="2556"/>
          </w:tcPr>
          <w:p>
            <w:r>
              <w:t>T1</w:t>
            </w:r>
          </w:p>
        </w:tc>
        <w:tc>
          <w:tcPr>
            <w:tcW w:type="dxa" w:w="2556"/>
          </w:tcPr>
          <w:p>
            <w:r>
              <w:t>1</w:t>
            </w:r>
          </w:p>
        </w:tc>
        <w:tc>
          <w:tcPr>
            <w:tcW w:type="dxa" w:w="2556"/>
          </w:tcPr>
          <w:p>
            <w:r>
              <w:t>1</w:t>
            </w:r>
          </w:p>
        </w:tc>
        <w:tc>
          <w:tcPr>
            <w:tcW w:type="dxa" w:w="2556"/>
          </w:tcPr>
          <w:p>
            <w:r>
              <w:t>1</w:t>
            </w:r>
          </w:p>
        </w:tc>
      </w:tr>
      <w:tr>
        <w:tc>
          <w:tcPr>
            <w:tcW w:type="dxa" w:w="2556"/>
          </w:tcPr>
          <w:p>
            <w:r>
              <w:t>T2</w:t>
            </w:r>
          </w:p>
        </w:tc>
        <w:tc>
          <w:tcPr>
            <w:tcW w:type="dxa" w:w="2556"/>
          </w:tcPr>
          <w:p>
            <w:r>
              <w:t>1</w:t>
            </w:r>
          </w:p>
        </w:tc>
        <w:tc>
          <w:tcPr>
            <w:tcW w:type="dxa" w:w="2556"/>
          </w:tcPr>
          <w:p>
            <w:r>
              <w:t>1</w:t>
            </w:r>
          </w:p>
        </w:tc>
        <w:tc>
          <w:tcPr>
            <w:tcW w:type="dxa" w:w="2556"/>
          </w:tcPr>
          <w:p>
            <w:r>
              <w:t>1</w:t>
            </w:r>
          </w:p>
        </w:tc>
      </w:tr>
      <w:tr>
        <w:tc>
          <w:tcPr>
            <w:tcW w:type="dxa" w:w="2556"/>
          </w:tcPr>
          <w:p>
            <w:r>
              <w:t>T3</w:t>
            </w:r>
          </w:p>
        </w:tc>
        <w:tc>
          <w:tcPr>
            <w:tcW w:type="dxa" w:w="2556"/>
          </w:tcPr>
          <w:p>
            <w:r>
              <w:t>0</w:t>
            </w:r>
          </w:p>
        </w:tc>
        <w:tc>
          <w:tcPr>
            <w:tcW w:type="dxa" w:w="2556"/>
          </w:tcPr>
          <w:p>
            <w:r>
              <w:t>0</w:t>
            </w:r>
          </w:p>
        </w:tc>
        <w:tc>
          <w:tcPr>
            <w:tcW w:type="dxa" w:w="2556"/>
          </w:tcPr>
          <w:p>
            <w:r>
              <w:t>0</w:t>
            </w:r>
          </w:p>
        </w:tc>
      </w:tr>
      <w:tr>
        <w:tc>
          <w:tcPr>
            <w:tcW w:type="dxa" w:w="2556"/>
          </w:tcPr>
          <w:p>
            <w:r>
              <w:t>T4</w:t>
            </w:r>
          </w:p>
        </w:tc>
        <w:tc>
          <w:tcPr>
            <w:tcW w:type="dxa" w:w="2556"/>
          </w:tcPr>
          <w:p>
            <w:r>
              <w:t>0</w:t>
            </w:r>
          </w:p>
        </w:tc>
        <w:tc>
          <w:tcPr>
            <w:tcW w:type="dxa" w:w="2556"/>
          </w:tcPr>
          <w:p>
            <w:r>
              <w:t>0</w:t>
            </w:r>
          </w:p>
        </w:tc>
        <w:tc>
          <w:tcPr>
            <w:tcW w:type="dxa" w:w="2556"/>
          </w:tcPr>
          <w:p>
            <w:r>
              <w:t>0</w:t>
            </w:r>
          </w:p>
        </w:tc>
      </w:tr>
      <w:tr>
        <w:tc>
          <w:tcPr>
            <w:tcW w:type="dxa" w:w="2556"/>
          </w:tcPr>
          <w:p>
            <w:r>
              <w:t>T5 added crossed</w:t>
            </w:r>
          </w:p>
        </w:tc>
        <w:tc>
          <w:tcPr>
            <w:tcW w:type="dxa" w:w="2556"/>
          </w:tcPr>
          <w:p>
            <w:r>
              <w:t>0</w:t>
            </w:r>
          </w:p>
        </w:tc>
        <w:tc>
          <w:tcPr>
            <w:tcW w:type="dxa" w:w="2556"/>
          </w:tcPr>
          <w:p>
            <w:r>
              <w:t>1</w:t>
            </w:r>
          </w:p>
        </w:tc>
        <w:tc>
          <w:tcPr>
            <w:tcW w:type="dxa" w:w="2556"/>
          </w:tcPr>
          <w:p>
            <w:r>
              <w:t>1</w:t>
            </w:r>
          </w:p>
        </w:tc>
      </w:tr>
      <w:tr>
        <w:tc>
          <w:tcPr>
            <w:tcW w:type="dxa" w:w="2556"/>
          </w:tcPr>
          <w:p>
            <w:r>
              <w:t>T6 added crossed</w:t>
            </w:r>
          </w:p>
        </w:tc>
        <w:tc>
          <w:tcPr>
            <w:tcW w:type="dxa" w:w="2556"/>
          </w:tcPr>
          <w:p>
            <w:r>
              <w:t>0</w:t>
            </w:r>
          </w:p>
        </w:tc>
        <w:tc>
          <w:tcPr>
            <w:tcW w:type="dxa" w:w="2556"/>
          </w:tcPr>
          <w:p>
            <w:r>
              <w:t>1</w:t>
            </w:r>
          </w:p>
        </w:tc>
        <w:tc>
          <w:tcPr>
            <w:tcW w:type="dxa" w:w="2556"/>
          </w:tcPr>
          <w:p>
            <w:r>
              <w:t>1</w:t>
            </w:r>
          </w:p>
        </w:tc>
      </w:tr>
      <w:tr>
        <w:tc>
          <w:tcPr>
            <w:tcW w:type="dxa" w:w="2556"/>
          </w:tcPr>
          <w:p>
            <w:r>
              <w:t>T7 added crossed</w:t>
            </w:r>
          </w:p>
        </w:tc>
        <w:tc>
          <w:tcPr>
            <w:tcW w:type="dxa" w:w="2556"/>
          </w:tcPr>
          <w:p>
            <w:r>
              <w:t>1</w:t>
            </w:r>
          </w:p>
        </w:tc>
        <w:tc>
          <w:tcPr>
            <w:tcW w:type="dxa" w:w="2556"/>
          </w:tcPr>
          <w:p>
            <w:r>
              <w:t>0</w:t>
            </w:r>
          </w:p>
        </w:tc>
        <w:tc>
          <w:tcPr>
            <w:tcW w:type="dxa" w:w="2556"/>
          </w:tcPr>
          <w:p>
            <w:r>
              <w:t>0</w:t>
            </w:r>
          </w:p>
        </w:tc>
      </w:tr>
      <w:tr>
        <w:tc>
          <w:tcPr>
            <w:tcW w:type="dxa" w:w="2556"/>
          </w:tcPr>
          <w:p>
            <w:r>
              <w:t>T8 added crossed</w:t>
            </w:r>
          </w:p>
        </w:tc>
        <w:tc>
          <w:tcPr>
            <w:tcW w:type="dxa" w:w="2556"/>
          </w:tcPr>
          <w:p>
            <w:r>
              <w:t>1</w:t>
            </w:r>
          </w:p>
        </w:tc>
        <w:tc>
          <w:tcPr>
            <w:tcW w:type="dxa" w:w="2556"/>
          </w:tcPr>
          <w:p>
            <w:r>
              <w:t>0</w:t>
            </w:r>
          </w:p>
        </w:tc>
        <w:tc>
          <w:tcPr>
            <w:tcW w:type="dxa" w:w="2556"/>
          </w:tcPr>
          <w:p>
            <w:r>
              <w:t>0</w:t>
            </w:r>
          </w:p>
        </w:tc>
      </w:tr>
    </w:tbl>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Validation view / plant group</w:t>
            </w:r>
          </w:p>
        </w:tc>
        <w:tc>
          <w:tcPr>
            <w:tcW w:type="dxa" w:w="1704"/>
          </w:tcPr>
          <w:p>
            <w:r>
              <w:t>Background red?</w:t>
            </w:r>
          </w:p>
        </w:tc>
        <w:tc>
          <w:tcPr>
            <w:tcW w:type="dxa" w:w="1704"/>
          </w:tcPr>
          <w:p>
            <w:r>
              <w:t>Marker?</w:t>
            </w:r>
          </w:p>
        </w:tc>
        <w:tc>
          <w:tcPr>
            <w:tcW w:type="dxa" w:w="1704"/>
          </w:tcPr>
          <w:p>
            <w:r>
              <w:t>Toy reference</w:t>
            </w:r>
          </w:p>
        </w:tc>
        <w:tc>
          <w:tcPr>
            <w:tcW w:type="dxa" w:w="1704"/>
          </w:tcPr>
          <w:p>
            <w:r>
              <w:t>V1 background prediction</w:t>
            </w:r>
          </w:p>
        </w:tc>
        <w:tc>
          <w:tcPr>
            <w:tcW w:type="dxa" w:w="1704"/>
          </w:tcPr>
          <w:p>
            <w:r>
              <w:t>V2 marker prediction</w:t>
            </w:r>
          </w:p>
        </w:tc>
      </w:tr>
      <w:tr>
        <w:tc>
          <w:tcPr>
            <w:tcW w:type="dxa" w:w="1704"/>
          </w:tcPr>
          <w:p>
            <w:r>
              <w:t>P1-red /P1</w:t>
            </w:r>
          </w:p>
        </w:tc>
        <w:tc>
          <w:tcPr>
            <w:tcW w:type="dxa" w:w="1704"/>
          </w:tcPr>
          <w:p>
            <w:r>
              <w:t>1</w:t>
            </w:r>
          </w:p>
        </w:tc>
        <w:tc>
          <w:tcPr>
            <w:tcW w:type="dxa" w:w="1704"/>
          </w:tcPr>
          <w:p>
            <w:r>
              <w:t>1</w:t>
            </w:r>
          </w:p>
        </w:tc>
        <w:tc>
          <w:tcPr>
            <w:tcW w:type="dxa" w:w="1704"/>
          </w:tcPr>
          <w:p>
            <w:r>
              <w:t>spotted</w:t>
            </w:r>
          </w:p>
        </w:tc>
        <w:tc>
          <w:tcPr>
            <w:tcW w:type="dxa" w:w="1704"/>
          </w:tcPr>
          <w:p>
            <w:r>
              <w:t>spotted</w:t>
            </w:r>
          </w:p>
        </w:tc>
        <w:tc>
          <w:tcPr>
            <w:tcW w:type="dxa" w:w="1704"/>
          </w:tcPr>
          <w:p>
            <w:r>
              <w:t>spotted</w:t>
            </w:r>
          </w:p>
        </w:tc>
      </w:tr>
      <w:tr>
        <w:tc>
          <w:tcPr>
            <w:tcW w:type="dxa" w:w="1704"/>
          </w:tcPr>
          <w:p>
            <w:r>
              <w:t>P1-grey /P1</w:t>
            </w:r>
          </w:p>
        </w:tc>
        <w:tc>
          <w:tcPr>
            <w:tcW w:type="dxa" w:w="1704"/>
          </w:tcPr>
          <w:p>
            <w:r>
              <w:t>0</w:t>
            </w:r>
          </w:p>
        </w:tc>
        <w:tc>
          <w:tcPr>
            <w:tcW w:type="dxa" w:w="1704"/>
          </w:tcPr>
          <w:p>
            <w:r>
              <w:t>1</w:t>
            </w:r>
          </w:p>
        </w:tc>
        <w:tc>
          <w:tcPr>
            <w:tcW w:type="dxa" w:w="1704"/>
          </w:tcPr>
          <w:p>
            <w:r>
              <w:t>spotted</w:t>
            </w:r>
          </w:p>
        </w:tc>
        <w:tc>
          <w:tcPr>
            <w:tcW w:type="dxa" w:w="1704"/>
          </w:tcPr>
          <w:p>
            <w:r>
              <w:t>healthy</w:t>
            </w:r>
          </w:p>
        </w:tc>
        <w:tc>
          <w:tcPr>
            <w:tcW w:type="dxa" w:w="1704"/>
          </w:tcPr>
          <w:p>
            <w:r>
              <w:t>spotted</w:t>
            </w:r>
          </w:p>
        </w:tc>
      </w:tr>
      <w:tr>
        <w:tc>
          <w:tcPr>
            <w:tcW w:type="dxa" w:w="1704"/>
          </w:tcPr>
          <w:p>
            <w:r>
              <w:t>P2-red /P2</w:t>
            </w:r>
          </w:p>
        </w:tc>
        <w:tc>
          <w:tcPr>
            <w:tcW w:type="dxa" w:w="1704"/>
          </w:tcPr>
          <w:p>
            <w:r>
              <w:t>1</w:t>
            </w:r>
          </w:p>
        </w:tc>
        <w:tc>
          <w:tcPr>
            <w:tcW w:type="dxa" w:w="1704"/>
          </w:tcPr>
          <w:p>
            <w:r>
              <w:t>0</w:t>
            </w:r>
          </w:p>
        </w:tc>
        <w:tc>
          <w:tcPr>
            <w:tcW w:type="dxa" w:w="1704"/>
          </w:tcPr>
          <w:p>
            <w:r>
              <w:t>healthy</w:t>
            </w:r>
          </w:p>
        </w:tc>
        <w:tc>
          <w:tcPr>
            <w:tcW w:type="dxa" w:w="1704"/>
          </w:tcPr>
          <w:p>
            <w:r>
              <w:t>spotted</w:t>
            </w:r>
          </w:p>
        </w:tc>
        <w:tc>
          <w:tcPr>
            <w:tcW w:type="dxa" w:w="1704"/>
          </w:tcPr>
          <w:p>
            <w:r>
              <w:t>healthy</w:t>
            </w:r>
          </w:p>
        </w:tc>
      </w:tr>
      <w:tr>
        <w:tc>
          <w:tcPr>
            <w:tcW w:type="dxa" w:w="1704"/>
          </w:tcPr>
          <w:p>
            <w:r>
              <w:t>P2-grey /P2</w:t>
            </w:r>
          </w:p>
        </w:tc>
        <w:tc>
          <w:tcPr>
            <w:tcW w:type="dxa" w:w="1704"/>
          </w:tcPr>
          <w:p>
            <w:r>
              <w:t>0</w:t>
            </w:r>
          </w:p>
        </w:tc>
        <w:tc>
          <w:tcPr>
            <w:tcW w:type="dxa" w:w="1704"/>
          </w:tcPr>
          <w:p>
            <w:r>
              <w:t>0</w:t>
            </w:r>
          </w:p>
        </w:tc>
        <w:tc>
          <w:tcPr>
            <w:tcW w:type="dxa" w:w="1704"/>
          </w:tcPr>
          <w:p>
            <w:r>
              <w:t>healthy</w:t>
            </w:r>
          </w:p>
        </w:tc>
        <w:tc>
          <w:tcPr>
            <w:tcW w:type="dxa" w:w="1704"/>
          </w:tcPr>
          <w:p>
            <w:r>
              <w:t>healthy</w:t>
            </w:r>
          </w:p>
        </w:tc>
        <w:tc>
          <w:tcPr>
            <w:tcW w:type="dxa" w:w="1704"/>
          </w:tcPr>
          <w:p>
            <w:r>
              <w:t>healthy</w:t>
            </w:r>
          </w:p>
        </w:tc>
      </w:tr>
    </w:tbl>
    <w:p>
      <w:pPr>
        <w:spacing w:line="336" w:lineRule="auto" w:after="180"/>
      </w:pPr>
      <w:r>
        <w:rPr>
          <w:b w:val="0"/>
        </w:rPr>
        <w:t>V1 fits only T1–T4; V2 fits T1–T8 after the crossed additions. Candidate flags are background_red then leaf_marker; rule predicts spotted 1 when the chosen flag is1, otherwise healthy 0. Minimize total training mistakes and keep first candidate on a tie. V1 errors[0, 0]choose background; V2 errors[4, 0]choose marker.</w:t>
      </w:r>
    </w:p>
    <w:p>
      <w:pPr>
        <w:spacing w:line="336" w:lineRule="auto" w:after="180"/>
      </w:pPr>
      <w:r>
        <w:rPr>
          <w:b w:val="0"/>
        </w:rPr>
        <w:t>Training plants and validation P1/P2do not overlap, and both views of each validation plant stay together. No validation label enters fitting. Four validation views are only two new plant identities.</w:t>
      </w:r>
    </w:p>
    <w:p>
      <w:pPr>
        <w:pStyle w:val="Heading2"/>
      </w:pPr>
      <w:r>
        <w:t>Read pictured background facts and trial limits</w:t>
      </w:r>
    </w:p>
    <w:p>
      <w:pPr>
        <w:spacing w:line="336" w:lineRule="auto" w:after="180"/>
      </w:pPr>
      <w:r>
        <w:rPr>
          <w:b w:val="0"/>
        </w:rPr>
        <w:t>Test whether a plant model follows the leaf or a convenient background shortcut.</w:t>
      </w:r>
    </w:p>
    <w:p>
      <w:pPr>
        <w:spacing w:line="336" w:lineRule="auto" w:after="180"/>
      </w:pPr>
      <w:r>
        <w:rPr>
          <w:b w:val="0"/>
        </w:rPr>
        <w:t xml:space="preserve">Toy </w:t>
      </w:r>
      <w:r>
        <w:rPr>
          <w:b/>
        </w:rPr>
        <w:t>training</w:t>
      </w:r>
      <w:r>
        <w:rPr>
          <w:b w:val="0"/>
        </w:rPr>
        <w:t xml:space="preserve"> photos show spotted leaves on red cards and healthy leaves on grey cards. Intended use allows both backgrounds for either class.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pictured red/grey audit and current executable trial share the intended four class/background combinations. Under the supplied background-following prediction pattern, spotted/grey and healthy/red fail while spotted/red and healthy/grey match:2/4 views, but only 2 plant identities in the complete trial.</w:t>
      </w:r>
    </w:p>
    <w:p>
      <w:pPr>
        <w:spacing w:line="336" w:lineRule="auto" w:after="180"/>
      </w:pPr>
      <w:r>
        <w:rPr>
          <w:b w:val="0"/>
        </w:rPr>
        <w:t>Adding crossed training cards changes this particular learner’s selected feature and yields 4/4 development views. The perfect toy marker is constructed, not a real diagnostic feature; these reused development views and small source count do not establish final performance or how every internal model representation works.</w:t>
      </w:r>
    </w:p>
    <w:p>
      <w:pPr>
        <w:pStyle w:val="Heading2"/>
      </w:pPr>
      <w:r>
        <w:t>Trace crossed audit and supplied background-following outputs</w:t>
      </w:r>
    </w:p>
    <w:p>
      <w:r>
        <w:drawing>
          <wp:inline xmlns:a="http://schemas.openxmlformats.org/drawingml/2006/main" xmlns:pic="http://schemas.openxmlformats.org/drawingml/2006/picture">
            <wp:extent cx="5486400" cy="3493008"/>
            <wp:docPr id="1" name="Picture 1"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9"/>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One controlled audit can reveal a shortcut in this toy setting without proving how every internal feature is represented.</w:t>
      </w:r>
    </w:p>
    <w:p>
      <w:pPr>
        <w:spacing w:line="336" w:lineRule="auto" w:after="180"/>
      </w:pPr>
      <w:r>
        <w:rPr>
          <w:b w:val="0"/>
        </w:rPr>
        <w:t>Change: The unchanged model predicts spotted for both red-background classes and healthy for both grey-background classes.</w:t>
      </w:r>
    </w:p>
    <w:p>
      <w:pPr>
        <w:spacing w:line="336" w:lineRule="auto" w:after="180"/>
      </w:pPr>
      <w:r>
        <w:rPr>
          <w:b/>
        </w:rPr>
        <w:t>Prediction</w:t>
      </w:r>
      <w:r>
        <w:rPr>
          <w:b w:val="0"/>
        </w:rPr>
        <w: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pStyle w:val="Heading2"/>
      </w:pPr>
      <w:r>
        <w:t>Extension · Bright/dim shift and response · reference / check after trying</w:t>
      </w:r>
    </w:p>
    <w:p>
      <w:pPr>
        <w:spacing w:line="336" w:lineRule="auto" w:after="180"/>
      </w:pPr>
      <w:r>
        <w:rPr>
          <w:b w:val="0"/>
        </w:rPr>
        <w:t xml:space="preserve">A model trained on one set of conditions may encounter another. Lighting, measuring tools, class frequency and the relationship between </w:t>
      </w:r>
      <w:r>
        <w:rPr>
          <w:b/>
        </w:rPr>
        <w:t>input</w:t>
      </w:r>
      <w:r>
        <w:rPr>
          <w:b w:val="0"/>
        </w:rPr>
        <w:t>s and labels can change.</w:t>
      </w:r>
    </w:p>
    <w:p>
      <w:pPr>
        <w:spacing w:line="336" w:lineRule="auto" w:after="180"/>
      </w:pPr>
      <w:r>
        <w:rPr>
          <w:b w:val="0"/>
        </w:rPr>
        <w:t xml:space="preserve">A shift does not automatically imply failure, but it challenges the assumption that old </w:t>
      </w:r>
      <w:r>
        <w:rPr>
          <w:b/>
        </w:rPr>
        <w:t>evidence</w:t>
      </w:r>
      <w:r>
        <w:rPr>
          <w:b w:val="0"/>
        </w:rPr>
        <w:t xml:space="preserve"> represents current use.</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 Earlier weeks supplied the model-building </w:t>
      </w:r>
      <w:r>
        <w:rPr>
          <w:b/>
        </w:rPr>
        <w:t>process</w:t>
      </w:r>
      <w:r>
        <w:rPr>
          <w:b w:val="0"/>
        </w:rPr>
        <w:t xml:space="preserve">; this week examines </w:t>
      </w:r>
      <w:r>
        <w:rPr>
          <w:b/>
        </w:rPr>
        <w:t>distribution shift</w:t>
      </w:r>
      <w:r>
        <w:rPr>
          <w:b w:val="0"/>
        </w:rPr>
        <w:t>.</w:t>
      </w:r>
    </w:p>
    <w:p>
      <w:pPr>
        <w:spacing w:line="336" w:lineRule="auto" w:after="180"/>
      </w:pPr>
      <w:r>
        <w:rPr>
          <w:b w:val="0"/>
        </w:rPr>
        <w:t>On development-like bright images, a frozen classroom classifier makes 2 errors in 20 cases:10 percent. On a separate dim set it makes 6 errors in 20:30 percent. The pooled result is 8/40=20 percent error.</w:t>
      </w:r>
    </w:p>
    <w:p>
      <w:pPr>
        <w:spacing w:line="336" w:lineRule="auto" w:after="180"/>
      </w:pPr>
      <w:r>
        <w:rPr>
          <w:b w:val="0"/>
        </w:rPr>
        <w:t>The pooled score hides a 20-percentage-point difference between conditions.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spacing w:line="336" w:lineRule="auto" w:after="180"/>
      </w:pPr>
      <w:r>
        <w:rPr>
          <w:b w:val="0"/>
        </w:rPr>
        <w:t>Guided response: It combines conditions and hides the higher observed dim-condition error.</w:t>
      </w:r>
    </w:p>
    <w:p>
      <w:pPr>
        <w:spacing w:line="336" w:lineRule="auto" w:after="180"/>
      </w:pPr>
      <w:r>
        <w:rPr>
          <w:b w:val="0"/>
        </w:rPr>
        <w:t xml:space="preserve">Exit response: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pStyle w:val="Heading2"/>
      </w:pPr>
      <w:r>
        <w:t>Review · Earlier aggregate overfitting comparison · reference / check after trying</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Choose one controlled repair and rerun the same evaluation.</w:t>
      </w:r>
    </w:p>
    <w:p>
      <w:pPr>
        <w:spacing w:line="336" w:lineRule="auto" w:after="180"/>
      </w:pPr>
      <w:r>
        <w:rPr>
          <w:b w:val="0"/>
        </w:rPr>
        <w:t>MODEL IDEA Different failure causes require different repairs: simplicity, representative data, regularization, or better features.</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Evidence</w:t>
      </w:r>
      <w:r>
        <w:rPr>
          <w:b w:val="0"/>
        </w:rPr>
        <w:t>: high train score, low validation score, largest gap in low light. Hypothesis combines complexity and missing low-light coverage; choose one cause to test first.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w:t>
      </w:r>
      <w:r>
        <w:rPr>
          <w:b/>
        </w:rPr>
        <w:t>Evidence</w:t>
      </w:r>
      <w:r>
        <w:rPr>
          <w:b w:val="0"/>
        </w:rPr>
        <w:t>: high train score, low validation score, largest gap in low light.</w:t>
      </w:r>
    </w:p>
    <w:p>
      <w:pPr>
        <w:spacing w:line="336" w:lineRule="auto" w:after="180"/>
      </w:pPr>
      <w:r>
        <w:rPr>
          <w:b w:val="0"/>
        </w:rPr>
        <w:t>STEP 2 Hypothesis combines complexity and missing low-light coverage; choose one cause to test first.</w:t>
      </w:r>
    </w:p>
    <w:p>
      <w:pPr>
        <w:spacing w:line="336" w:lineRule="auto" w:after="180"/>
      </w:pPr>
      <w:r>
        <w:rPr>
          <w:b w:val="0"/>
        </w:rPr>
        <w:t xml:space="preserve">STEP 3 Add representative low-light </w:t>
      </w:r>
      <w:r>
        <w:rPr>
          <w:b/>
        </w:rPr>
        <w:t>training</w:t>
      </w:r>
      <w:r>
        <w:rPr>
          <w:b w:val="0"/>
        </w:rPr>
        <w:t xml:space="preserve"> examples while freezing model settings.</w:t>
      </w:r>
    </w:p>
    <w:p>
      <w:pPr>
        <w:spacing w:line="336" w:lineRule="auto" w:after="180"/>
      </w:pPr>
      <w:r>
        <w:rPr>
          <w:b w:val="0"/>
        </w:rPr>
        <w:t>STEP 4 Rerun all validation cases; compare overall, error slice, subgroup gap, and regressions.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val="0"/>
        </w:rPr>
        <w:t>A classifier relies on tray colour; new trays reduce performance.</w:t>
      </w:r>
    </w:p>
    <w:p>
      <w:pPr>
        <w:spacing w:line="336" w:lineRule="auto" w:after="180"/>
      </w:pPr>
      <w:r>
        <w:rPr>
          <w:b w:val="0"/>
        </w:rPr>
        <w:t>Propose controlled improvement.</w:t>
      </w:r>
    </w:p>
    <w:p>
      <w:pPr>
        <w:pStyle w:val="Heading3"/>
      </w:pPr>
      <w:r>
        <w:t>Exact explanation to model</w:t>
      </w:r>
    </w:p>
    <w:p>
      <w:pPr>
        <w:spacing w:line="336" w:lineRule="auto" w:after="180"/>
      </w:pPr>
      <w:r>
        <w:rPr>
          <w:b w:val="0"/>
        </w:rPr>
        <w:t>Reduce the shortcut and add representative variation; compare on fixed validation cases including new colours. Change one planned factor.</w:t>
      </w:r>
    </w:p>
    <w:p>
      <w:pPr>
        <w:pStyle w:val="Heading3"/>
      </w:pPr>
      <w:r>
        <w:t>Explain the added worked example</w:t>
      </w:r>
    </w:p>
    <w:p>
      <w:pPr>
        <w:pStyle w:val="Heading3"/>
      </w:pPr>
      <w:r>
        <w:t>Key terms</w:t>
      </w:r>
    </w:p>
    <w:p>
      <w:pPr>
        <w:pStyle w:val="Heading3"/>
      </w:pPr>
      <w:r>
        <w:t>Apply the connected idea: Distribution shift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Improve Generalization</w:t>
      </w:r>
    </w:p>
    <w:p>
      <w:pPr>
        <w:pStyle w:val="Heading3"/>
      </w:pPr>
      <w:r>
        <w:t>The facts we will use</w:t>
      </w:r>
    </w:p>
    <w:p>
      <w:r>
        <w:drawing>
          <wp:inline xmlns:a="http://schemas.openxmlformats.org/drawingml/2006/main" xmlns:pic="http://schemas.openxmlformats.org/drawingml/2006/picture">
            <wp:extent cx="5486400" cy="5638800"/>
            <wp:docPr id="2" name="Picture 2"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10"/>
                    <a:stretch>
                      <a:fillRect/>
                    </a:stretch>
                  </pic:blipFill>
                  <pic:spPr>
                    <a:xfrm>
                      <a:off x="0" y="0"/>
                      <a:ext cx="5486400" cy="56388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controlled comparison before removing help</w:t>
      </w:r>
    </w:p>
    <w:p>
      <w:r>
        <w:t>Collect one explanation per learner before showing the key.</w:t>
      </w:r>
    </w:p>
    <w:p>
      <w:pPr>
        <w:pStyle w:val="Heading2"/>
      </w:pPr>
      <w:r>
        <w:t>Current completion task and key</w:t>
      </w:r>
    </w:p>
    <w:p>
      <w:pPr>
        <w:spacing w:line="336" w:lineRule="auto" w:after="180"/>
      </w:pPr>
      <w:r>
        <w:rPr>
          <w:b w:val="0"/>
        </w:rPr>
        <w:t>For the complete T1–T8 and P1/P2 fixture, explain V1 and V2 candidate training errors, chosen feature and every validation prediction. Report both view and plant counts. State what was held fixed, what changed and why 4/4 development views do not prove general reliability.</w:t>
      </w:r>
    </w:p>
    <w:p>
      <w:pPr>
        <w:spacing w:line="336" w:lineRule="auto" w:after="180"/>
      </w:pPr>
      <w:r>
        <w:rPr>
          <w:b w:val="0"/>
        </w:rPr>
        <w:t>V1 trainingT1–T4 errorsbackground0/marker 0, tie picksbackground. V2 addsT5–T8 crossed conditionserrors 4/0, picksmarker. Same P1/P2 fourviews:V1 spotted, healthy, spotted, healthy gets 2/4; V2 spotted, spotted, healthy, healthy 4/4. Only2 newplantidentities. Learner, candidate order, rule/tie, validation sources and labels fixed; training data version changed.</w:t>
      </w:r>
    </w:p>
    <w:p>
      <w:pPr>
        <w:spacing w:line="336" w:lineRule="auto" w:after="180"/>
      </w:pPr>
      <w:r>
        <w:rPr>
          <w:b w:val="0"/>
        </w:rPr>
        <w:t>Toy feature-label relation is constructed and final performance remains unmeasured.</w:t>
      </w:r>
    </w:p>
    <w:p>
      <w:pPr>
        <w:pStyle w:val="Heading2"/>
      </w:pPr>
      <w:r>
        <w:t>Current individual overclaim check</w:t>
      </w:r>
    </w:p>
    <w:p>
      <w:pPr>
        <w:spacing w:line="336" w:lineRule="auto" w:after="180"/>
      </w:pPr>
      <w:r>
        <w:rPr>
          <w:b w:val="0"/>
        </w:rPr>
        <w:t>A team adds crossed training data and inspects 4/4 correct validation views from 2 plants. Does that establish robust performance on new species, cameras or backgrounds? Name the missing evidence.</w:t>
      </w:r>
    </w:p>
    <w:p>
      <w:pPr>
        <w:spacing w:line="336" w:lineRule="auto" w:after="180"/>
      </w:pPr>
      <w:r>
        <w:rPr>
          <w:b w:val="0"/>
        </w:rPr>
        <w:t>No. Four inspected views of two plants and a constructed perfect marker do not establish broad reliability. Record source count/conditions and collect fresh intended-use groups for the frozen revision.</w:t>
      </w:r>
    </w:p>
    <w:p>
      <w:pPr>
        <w:pStyle w:val="Heading2"/>
      </w:pPr>
      <w:r>
        <w:t>Pictured crossed-background reasoning</w:t>
      </w:r>
    </w:p>
    <w:p>
      <w:pPr>
        <w:spacing w:line="336" w:lineRule="auto" w:after="180"/>
      </w:pPr>
      <w:r>
        <w:rPr>
          <w:b w:val="0"/>
        </w:rPr>
        <w:t xml:space="preserve">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Freeze the revised model and score new grouped crossed-background examples; reused audit cases remain development </w:t>
      </w:r>
      <w:r>
        <w:rPr>
          <w:b/>
        </w:rPr>
        <w:t>evidence</w:t>
      </w:r>
      <w:r>
        <w:rPr>
          <w:b w:val="0"/>
        </w:rPr>
        <w:t>. Changed-case check: It fails on spotted/grey and healthy/red in the crossed audit.</w:t>
      </w:r>
    </w:p>
    <w:p>
      <w:pPr>
        <w:spacing w:line="336" w:lineRule="auto" w:after="180"/>
      </w:pPr>
      <w:r>
        <w:rPr>
          <w:b w:val="0"/>
        </w:rPr>
        <w:t xml:space="preserve">Those supplied </w:t>
      </w:r>
      <w:r>
        <w:rPr>
          <w:b/>
        </w:rPr>
        <w:t>prediction</w:t>
      </w:r>
      <w:r>
        <w:rPr>
          <w:b w:val="0"/>
        </w:rPr>
        <w:t>s follow background rather than the intended leaf target.</w:t>
      </w:r>
    </w:p>
    <w:p>
      <w:pPr>
        <w:spacing w:line="336" w:lineRule="auto" w:after="180"/>
      </w:pPr>
      <w:r>
        <w:rPr>
          <w:b w:val="0"/>
        </w:rPr>
        <w:t xml:space="preserve">Changed-case reasoning: It fails on spotted/grey and healthy/red in the crossed audit. Those supplied </w:t>
      </w:r>
      <w:r>
        <w:rPr>
          <w:b/>
        </w:rPr>
        <w:t>prediction</w:t>
      </w:r>
      <w:r>
        <w:rPr>
          <w:b w:val="0"/>
        </w:rPr>
        <w:t>s follow background rather than the intended leaf target.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classifier relies on tray colour; new trays reduce performance.</w:t>
      </w:r>
    </w:p>
    <w:p>
      <w:pPr>
        <w:spacing w:line="336" w:lineRule="auto" w:after="180"/>
      </w:pPr>
      <w:r>
        <w:rPr>
          <w:b w:val="0"/>
        </w:rPr>
        <w:t>Write the question to explain: Propose controlled improvement.</w:t>
      </w:r>
    </w:p>
    <w:p>
      <w:pPr>
        <w:spacing w:line="336" w:lineRule="auto" w:after="180"/>
      </w:pPr>
      <w:r>
        <w:rPr>
          <w:b w:val="0"/>
        </w:rPr>
        <w:t xml:space="preserve">Reveal after </w:t>
      </w:r>
      <w:r>
        <w:rPr>
          <w:b/>
        </w:rPr>
        <w:t>prediction</w:t>
      </w:r>
      <w:r>
        <w:rPr>
          <w:b w:val="0"/>
        </w:rPr>
        <w:t>s: Reduce the shortcut and add representative variation; compare on fixed validation cases including new colours. Change one planned factor.</w:t>
      </w:r>
    </w:p>
    <w:p>
      <w:pPr>
        <w:spacing w:line="336" w:lineRule="auto" w:after="180"/>
      </w:pPr>
      <w:r>
        <w:rPr>
          <w:b w:val="0"/>
        </w:rPr>
        <w:t>Use the earlier transfer question as additional practice. Reserve the selected new blue/white background investigation design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does a test score need a population description? Check the explanation before proceeding.</w:t>
            </w:r>
          </w:p>
        </w:tc>
      </w:tr>
      <w:tr>
        <w:tc>
          <w:tcPr>
            <w:tcW w:type="dxa" w:w="5112"/>
          </w:tcPr>
          <w:p>
            <w:r>
              <w:t>7 to 18 minutes</w:t>
            </w:r>
          </w:p>
        </w:tc>
        <w:tc>
          <w:tcPr>
            <w:tcW w:type="dxa" w:w="5112"/>
          </w:tcPr>
          <w:p>
            <w:r>
              <w:t>Read the opening and model the worked evidence. Ask students to identify distribution shift in context.</w:t>
            </w:r>
          </w:p>
        </w:tc>
      </w:tr>
      <w:tr>
        <w:tc>
          <w:tcPr>
            <w:tcW w:type="dxa" w:w="5112"/>
          </w:tcPr>
          <w:p>
            <w:r>
              <w:t>18 to 32 minutes</w:t>
            </w:r>
          </w:p>
        </w:tc>
        <w:tc>
          <w:tcPr>
            <w:tcW w:type="dxa" w:w="5112"/>
          </w:tcPr>
          <w:p>
            <w:r>
              <w:t>Complete W 1 and W 2 with support: compare conditions; read pooled evidence.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distribution shift and monitoring. Invite a counterexample to an overconfident claim.</w:t>
            </w:r>
          </w:p>
        </w:tc>
      </w:tr>
      <w:tr>
        <w:tc>
          <w:tcPr>
            <w:tcW w:type="dxa" w:w="5112"/>
          </w:tcPr>
          <w:p>
            <w:r>
              <w:t>8 to 20 minutes</w:t>
            </w:r>
          </w:p>
        </w:tc>
        <w:tc>
          <w:tcPr>
            <w:tcW w:type="dxa" w:w="5112"/>
          </w:tcPr>
          <w:p>
            <w:r>
              <w:t>Discuss the application and complete W 3: Can changed predictions alone prove an accuracy drop?</w:t>
            </w:r>
          </w:p>
        </w:tc>
      </w:tr>
      <w:tr>
        <w:tc>
          <w:tcPr>
            <w:tcW w:type="dxa" w:w="5112"/>
          </w:tcPr>
          <w:p>
            <w:r>
              <w:t>20 to 35 minutes</w:t>
            </w:r>
          </w:p>
        </w:tc>
        <w:tc>
          <w:tcPr>
            <w:tcW w:type="dxa" w:w="5112"/>
          </w:tcPr>
          <w:p>
            <w:r>
              <w:t>Collect W4 independently before giving hints. Assess these outcomes: Recognize changes between development and later data; Compare errors across conditions with denominators.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spacing w:line="336" w:lineRule="auto" w:after="180"/>
      </w:pPr>
      <w:r>
        <w:rPr>
          <w:b w:val="0"/>
        </w:rPr>
        <w:t xml:space="preserve">Completion task: 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Distribution shift</w:t>
      </w:r>
    </w:p>
    <w:p>
      <w:pPr>
        <w:spacing w:line="336" w:lineRule="auto" w:after="180"/>
      </w:pPr>
      <w:r>
        <w:rPr>
          <w:b w:val="0"/>
        </w:rPr>
        <w:t>Target: Recognize changes between development and later data</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Why is 8/40 incomplete by itself?</w:t>
      </w:r>
    </w:p>
    <w:p>
      <w:pPr>
        <w:spacing w:line="336" w:lineRule="auto" w:after="180"/>
      </w:pPr>
      <w:r>
        <w:rPr>
          <w:b w:val="0"/>
        </w:rPr>
        <w:t>Teacher check: Teacher explanation: It combines conditions and hides the higher observed dim-condition error.</w:t>
      </w:r>
    </w:p>
    <w:p>
      <w:pPr>
        <w:spacing w:line="336" w:lineRule="auto" w:after="180"/>
      </w:pPr>
      <w:r>
        <w:rPr>
          <w:b w:val="0"/>
        </w:rPr>
        <w:t xml:space="preserve">Individual check: For </w:t>
      </w:r>
      <w:r>
        <w:rPr>
          <w:b/>
        </w:rPr>
        <w:t>Distribution shift</w:t>
      </w:r>
      <w:r>
        <w:rPr>
          <w:b w:val="0"/>
        </w:rPr>
        <w:t>, use its worked case to evaluate this proposed explanation: “A final answer is enough”. Explain the deciding step.</w:t>
      </w:r>
    </w:p>
    <w:p>
      <w:pPr>
        <w:spacing w:line="336" w:lineRule="auto" w:after="180"/>
      </w:pPr>
      <w:r>
        <w:rPr>
          <w:b w:val="0"/>
        </w:rPr>
        <w:t>Expected correction: Ask for the relevant counts, units, procedure or saved record. For this week: Bright 2/20=10 percent; dim 6/20=30 percent; dim is 20 percentage points higher.</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pStyle w:val="Heading3"/>
      </w:pPr>
      <w:r>
        <w:t>Reasoned teacher answer</w:t>
      </w:r>
    </w:p>
    <w:p>
      <w:pPr>
        <w:pStyle w:val="Heading1"/>
      </w:pPr>
      <w:r>
        <w:t>04. Run the complete T/Vrepair trial and planner</w:t>
      </w:r>
    </w:p>
    <w:p>
      <w:r>
        <w:t>Keep the implemented toy revision separate from proposed repairs and absent final results.</w:t>
      </w:r>
    </w:p>
    <w:p>
      <w:pPr>
        <w:pStyle w:val="Heading2"/>
      </w:pPr>
      <w:r>
        <w:t>Complete current fixtures and answer guidance</w:t>
      </w:r>
    </w:p>
    <w:p>
      <w:pPr>
        <w:spacing w:line="336" w:lineRule="auto" w:after="180"/>
      </w:pPr>
      <w:r>
        <w:rPr>
          <w:b w:val="0"/>
        </w:rPr>
        <w:t>Current executable toy trial and limits as supplied. Repairpatterns2 gapneeds source audit before capacityclaim; 3 documented label-policy errorsneed versioned evidence review; 4 future answerfeaturemust be removed/refitted. Independent blue/white plan requires crossedclass/backgroundcollection, same-leaf diagnostics, sourcegroup separation, one developmentchange and fresh frozen-version finalevidence.</w:t>
      </w:r>
    </w:p>
    <w:p>
      <w:pPr>
        <w:spacing w:line="336" w:lineRule="auto" w:after="180"/>
      </w:pPr>
      <w:r>
        <w:rPr>
          <w:b w:val="0"/>
        </w:rPr>
        <w:t>No blue/white outputs are supplied. Earlier capacity-selection W4is additional practice, not the current key.</w:t>
      </w:r>
    </w:p>
    <w:p>
      <w:pPr>
        <w:pStyle w:val="Heading2"/>
      </w:pPr>
      <w:r>
        <w:t>Predict,fit,compare and record</w:t>
      </w:r>
    </w:p>
    <w:p>
      <w:pPr>
        <w:pStyle w:val="ListNumber"/>
      </w:pPr>
      <w:r>
        <w:t>1. Write the hypothesis and expected evidence before running.</w:t>
      </w:r>
    </w:p>
    <w:p>
      <w:pPr>
        <w:pStyle w:val="ListNumber"/>
      </w:pPr>
      <w:r>
        <w:t>2. Repair Planner: match four evidence patterns to targeted changes, run one change, and explain what the result does not prove.</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controlled-improvement misunderstandings</w:t>
      </w:r>
    </w:p>
    <w:p>
      <w:pPr>
        <w:spacing w:line="336" w:lineRule="auto" w:after="180"/>
      </w:pPr>
      <w:r>
        <w:rPr>
          <w:b w:val="0"/>
        </w:rPr>
        <w:t>Current misconceptions: a training correlation proves an actual shortcut—require fixed-model crossed outputs; four views mean four plants—retain P1/P2 source groups; a perfect toy feature is a real diagnosis—state the construction; one improved score means every condition works—inspect all cases and slices; changing training and validation together isolates the repair—keep cohort and protocol versions explicit.</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new blue/white background investigation design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Changing data, features, model, and threshold together is the fastest proof of improvement.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3"/>
      </w:pPr>
      <w:r>
        <w:t>Check these misconceptions</w:t>
      </w:r>
    </w:p>
    <w:p>
      <w:pPr>
        <w:spacing w:line="336" w:lineRule="auto" w:after="180"/>
      </w:pPr>
      <w:r>
        <w:rPr>
          <w:b w:val="0"/>
        </w:rPr>
        <w:t>A final answer is enough: Ask for the relevant counts, units, procedure or saved record. For this week: Bright 2/20=10 percent; dim 6/20=30 percent; dim is 20 percentage points higher.</w:t>
      </w:r>
    </w:p>
    <w:p>
      <w:pPr>
        <w:spacing w:line="336" w:lineRule="auto" w:after="180"/>
      </w:pPr>
      <w:r>
        <w:rPr>
          <w:b w:val="0"/>
        </w:rPr>
        <w:t xml:space="preserve">A stronger claim makes a stronger project: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spacing w:line="336" w:lineRule="auto" w:after="180"/>
      </w:pPr>
      <w:r>
        <w:rPr>
          <w:b w:val="0"/>
        </w:rPr>
        <w:t xml:space="preserve">The new case can be copied from the example: The independent task changes the </w:t>
      </w:r>
      <w:r>
        <w:rPr>
          <w:b/>
        </w:rPr>
        <w:t>evidence</w:t>
      </w:r>
      <w:r>
        <w:rPr>
          <w:b w:val="0"/>
        </w:rPr>
        <w:t>. Require a fresh explanation: Rates 10 percent and 50 percent; pooled 8/40=20 percent.</w:t>
      </w:r>
    </w:p>
    <w:p>
      <w:pPr>
        <w:spacing w:line="336" w:lineRule="auto" w:after="180"/>
      </w:pPr>
      <w:r>
        <w:rPr>
          <w:b w:val="0"/>
        </w:rPr>
        <w:t>Report both denominators and the 40-point condition gap.</w:t>
      </w:r>
    </w:p>
    <w:p>
      <w:pPr>
        <w:pStyle w:val="Heading3"/>
      </w:pPr>
      <w:r>
        <w:t>Match the support to the first error</w:t>
      </w:r>
    </w:p>
    <w:p>
      <w:pPr>
        <w:pStyle w:val="Heading1"/>
      </w:pPr>
      <w:r>
        <w:t>05. Assess the selected blue/white generalization plan</w:t>
      </w:r>
    </w:p>
    <w:p>
      <w:r>
        <w:t>Use current controlled-improvement keys;earlier capacity calculations remain review.</w:t>
      </w:r>
    </w:p>
    <w:p>
      <w:pPr>
        <w:pStyle w:val="Heading2"/>
      </w:pPr>
      <w:r>
        <w:t>Selected task and checked design answer</w:t>
      </w:r>
    </w:p>
    <w:p>
      <w:pPr>
        <w:spacing w:line="336" w:lineRule="auto" w:after="180"/>
      </w:pPr>
      <w:r>
        <w:rPr>
          <w:b w:val="0"/>
        </w:rPr>
        <w:t xml:space="preserve">Selected case: Spotted leaves have blue backgrounds and healthy leaves white backgrounds in </w:t>
      </w:r>
      <w:r>
        <w:rPr>
          <w:b/>
        </w:rPr>
        <w:t>training</w:t>
      </w:r>
      <w:r>
        <w:rPr>
          <w:b w:val="0"/>
        </w:rPr>
        <w:t>. Design a generalisation investigation with fresh evaluation.</w:t>
      </w:r>
    </w:p>
    <w:p>
      <w:pPr>
        <w:spacing w:line="336" w:lineRule="auto" w:after="180"/>
      </w:pPr>
      <w:r>
        <w:rPr>
          <w:b w:val="0"/>
        </w:rPr>
        <w:t>Cross background and class conditions; compare the same leaf on changed backgrounds as a diagnostic and group views by plant in splits.</w:t>
      </w:r>
    </w:p>
    <w:p>
      <w:pPr>
        <w:spacing w:line="336" w:lineRule="auto" w:after="180"/>
      </w:pPr>
      <w:r>
        <w:rPr>
          <w:b w:val="0"/>
        </w:rPr>
        <w:t>Use development data for decisions, then compare frozen versions on the same untouched final records. Record actual outcomes; the correlated backgrounds alone do not prove a shortcut.</w:t>
      </w:r>
    </w:p>
    <w:p>
      <w:pPr>
        <w:pStyle w:val="Heading2"/>
      </w:pPr>
      <w:r>
        <w:t>Current W1–W3/W5guidance</w:t>
      </w:r>
    </w:p>
    <w:p>
      <w:pPr>
        <w:spacing w:line="336" w:lineRule="auto" w:after="180"/>
      </w:pPr>
      <w:r>
        <w:rPr>
          <w:b w:val="0"/>
        </w:rPr>
        <w:t>Current W1 names training-data addition and fixed learner/candidates/tie/validation. W2 traces0/0→4/0 candidate errors and 2/4→4/4 views, two plants. W3 rejects broad reliability from inspected synthetic cases. W5 proposes fresh source-separated final data without inventing outcomes.</w:t>
      </w:r>
    </w:p>
    <w:p>
      <w:pPr>
        <w:spacing w:line="336" w:lineRule="auto" w:after="180"/>
      </w:pPr>
      <w:r>
        <w:rPr>
          <w:b w:val="0"/>
        </w:rPr>
        <w:t>Selected blue/white task is a design investigation; score source/diagnostic/development/final stages, not the old capacity candidate choice.</w:t>
      </w:r>
    </w:p>
    <w:p>
      <w:pPr>
        <w:pStyle w:val="Heading2"/>
      </w:pPr>
      <w:r>
        <w:t>Judge evidence,trace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Reduce the shortcut and add representative variation; compare on fixed validation cases including new colours. Change one planned factor.</w:t>
      </w:r>
    </w:p>
    <w:p>
      <w:pPr>
        <w:pStyle w:val="Heading3"/>
      </w:pPr>
      <w:r>
        <w:t>Additional transfer practice question</w:t>
      </w:r>
    </w:p>
    <w:p>
      <w:pPr>
        <w:spacing w:line="336" w:lineRule="auto" w:after="180"/>
      </w:pPr>
      <w:r>
        <w:rPr>
          <w:b w:val="0"/>
        </w:rPr>
        <w:t xml:space="preserve">A team proposes more representative </w:t>
      </w:r>
      <w:r>
        <w:rPr>
          <w:b/>
        </w:rPr>
        <w:t>training</w:t>
      </w:r>
      <w:r>
        <w:rPr>
          <w:b w:val="0"/>
        </w:rPr>
        <w:t xml:space="preserve"> examples and a simpler model. How should it compare changes while protecting the final test?</w:t>
      </w:r>
    </w:p>
    <w:p>
      <w:pPr>
        <w:pStyle w:val="Heading3"/>
      </w:pPr>
      <w:r>
        <w:t>Reasoned practice answer</w:t>
      </w:r>
    </w:p>
    <w:p>
      <w:pPr>
        <w:spacing w:line="336" w:lineRule="auto" w:after="180"/>
      </w:pPr>
      <w:r>
        <w:rPr>
          <w:b w:val="0"/>
        </w:rPr>
        <w:t>Use the same validation protocol and change one factor at a time where possible. Record results and retain the final test for the fixed final choice.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“Repeatedly checking final test scores is the best way to choose every improvement.” Keep the first attempt and an uncoached retry separate.</w:t>
      </w:r>
    </w:p>
    <w:p>
      <w:pPr>
        <w:pStyle w:val="Heading3"/>
      </w:pPr>
      <w:r>
        <w:t>Original transfer answer</w:t>
      </w:r>
    </w:p>
    <w:p>
      <w:pPr>
        <w:spacing w:line="336" w:lineRule="auto" w:after="180"/>
      </w:pPr>
      <w:r>
        <w:rPr>
          <w:b w:val="0"/>
        </w:rPr>
        <w:t xml:space="preserve">Collect both classes on multiple backgrounds with reliable labels. Compare a planned </w:t>
      </w:r>
      <w:r>
        <w:rPr>
          <w:b/>
        </w:rPr>
        <w:t>training</w:t>
      </w:r>
      <w:r>
        <w:rPr>
          <w:b w:val="0"/>
        </w:rPr>
        <w:t>-data change on fixed validation slices, including changed backgrounds, and inspect errors.</w:t>
      </w:r>
    </w:p>
    <w:p>
      <w:pPr>
        <w:spacing w:line="336" w:lineRule="auto" w:after="180"/>
      </w:pPr>
      <w:r>
        <w:rPr>
          <w:b w:val="0"/>
        </w:rPr>
        <w:t>Keep leaf identity partitions and final test sealed until selection.</w:t>
      </w:r>
    </w:p>
    <w:p>
      <w:pPr>
        <w:pStyle w:val="Heading3"/>
      </w:pPr>
      <w:r>
        <w:t>Explanations for the additional workbook examples</w:t>
      </w:r>
    </w:p>
    <w:p>
      <w:pPr>
        <w:pStyle w:val="Heading3"/>
      </w:pPr>
      <w:r>
        <w:t>W1 Select from evidence</w:t>
      </w:r>
    </w:p>
    <w:p>
      <w:pPr>
        <w:spacing w:line="336" w:lineRule="auto" w:after="180"/>
      </w:pPr>
      <w:r>
        <w:rPr>
          <w:b w:val="0"/>
        </w:rPr>
        <w:t xml:space="preserve">Choose among the three worked candidates and explain the </w:t>
      </w:r>
      <w:r>
        <w:rPr>
          <w:b/>
        </w:rPr>
        <w:t>training</w:t>
      </w:r>
      <w:r>
        <w:rPr>
          <w:b w:val="0"/>
        </w:rPr>
        <w:t xml:space="preserve"> trap.</w:t>
      </w:r>
    </w:p>
    <w:p>
      <w:pPr>
        <w:spacing w:line="336" w:lineRule="auto" w:after="180"/>
      </w:pPr>
      <w:r>
        <w:rPr>
          <w:b w:val="0"/>
        </w:rPr>
        <w:t xml:space="preserve">Teacher explanation: Choose the line with validation MAE 3. The curve </w:t>
      </w:r>
      <w:r>
        <w:rPr>
          <w:b/>
        </w:rPr>
        <w:t>training</w:t>
      </w:r>
      <w:r>
        <w:rPr>
          <w:b w:val="0"/>
        </w:rPr>
        <w:t xml:space="preserve"> MAE 0 does not compensate for validation MAE 8.</w:t>
      </w:r>
    </w:p>
    <w:p>
      <w:pPr>
        <w:pStyle w:val="Heading3"/>
      </w:pPr>
      <w:r>
        <w:t>W2 Interpret a gap</w:t>
      </w:r>
    </w:p>
    <w:p>
      <w:pPr>
        <w:spacing w:line="336" w:lineRule="auto" w:after="180"/>
      </w:pPr>
      <w:r>
        <w:rPr>
          <w:b w:val="0"/>
        </w:rPr>
        <w:t xml:space="preserve">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Teacher explanation: No. It is consistent with </w:t>
      </w:r>
      <w:r>
        <w:rPr>
          <w:b/>
        </w:rPr>
        <w:t>overfitting</w:t>
      </w:r>
      <w:r>
        <w:rPr>
          <w:b w:val="0"/>
        </w:rPr>
        <w:t xml:space="preserve"> but may also reflect shift, data quality or split problems.</w:t>
      </w:r>
    </w:p>
    <w:p>
      <w:pPr>
        <w:pStyle w:val="Heading3"/>
      </w:pPr>
      <w:r>
        <w:t>W3 Propose a controlled change</w:t>
      </w:r>
    </w:p>
    <w:p>
      <w:pPr>
        <w:spacing w:line="336" w:lineRule="auto" w:after="180"/>
      </w:pPr>
      <w:r>
        <w:rPr>
          <w:b w:val="0"/>
        </w:rPr>
        <w:t>Describe one fair next development comparison.</w:t>
      </w:r>
    </w:p>
    <w:p>
      <w:pPr>
        <w:spacing w:line="336" w:lineRule="auto" w:after="180"/>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3"/>
      </w:pPr>
      <w:r>
        <w:t>W4 Apply independently</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spacing w:line="336" w:lineRule="auto" w:after="180"/>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spacing w:line="336" w:lineRule="auto" w:after="180"/>
      </w:pPr>
      <w:r>
        <w:rPr>
          <w:b w:val="0"/>
        </w:rPr>
        <w:t xml:space="preserve">What extra </w:t>
      </w:r>
      <w:r>
        <w:rPr>
          <w:b/>
        </w:rPr>
        <w:t>evidence</w:t>
      </w:r>
      <w:r>
        <w:rPr>
          <w:b w:val="0"/>
        </w:rPr>
        <w:t xml:space="preserve"> would you inspect before concluding a model memorized noise?</w:t>
      </w:r>
    </w:p>
    <w:p>
      <w:pPr>
        <w:spacing w:line="336" w:lineRule="auto" w:after="180"/>
      </w:pPr>
      <w:r>
        <w:rPr>
          <w:b w:val="0"/>
        </w:rPr>
        <w:t>Teacher explanation: Check data provenance, split grouping, label quality and repeated development results; inspect representative residuals without using final test feedback to tune.</w:t>
      </w:r>
    </w:p>
    <w:p>
      <w:pPr>
        <w:pStyle w:val="Heading3"/>
      </w:pPr>
      <w:r>
        <w:t>Distribution shift — W1 Compare conditions</w:t>
      </w:r>
    </w:p>
    <w:p>
      <w:pPr>
        <w:spacing w:line="336" w:lineRule="auto" w:after="180"/>
      </w:pPr>
      <w:r>
        <w:rPr>
          <w:b w:val="0"/>
        </w:rPr>
        <w:t>Calculate each worked error rate and the difference.</w:t>
      </w:r>
    </w:p>
    <w:p>
      <w:pPr>
        <w:spacing w:line="336" w:lineRule="auto" w:after="180"/>
      </w:pPr>
      <w:r>
        <w:rPr>
          <w:b w:val="0"/>
        </w:rPr>
        <w:t>Teacher explanation: Bright 2/20=10 percent; dim 6/20=30 percent; dim is 20 percentage points higher.</w:t>
      </w:r>
    </w:p>
    <w:p>
      <w:pPr>
        <w:pStyle w:val="Heading3"/>
      </w:pPr>
      <w:r>
        <w:t>Distribution shift — W2 Read pooled evidence</w:t>
      </w:r>
    </w:p>
    <w:p>
      <w:pPr>
        <w:spacing w:line="336" w:lineRule="auto" w:after="180"/>
      </w:pPr>
      <w:r>
        <w:rPr>
          <w:b w:val="0"/>
        </w:rPr>
        <w:t>Why is 8/40 incomplete by itself?</w:t>
      </w:r>
    </w:p>
    <w:p>
      <w:pPr>
        <w:spacing w:line="336" w:lineRule="auto" w:after="180"/>
      </w:pPr>
      <w:r>
        <w:rPr>
          <w:b w:val="0"/>
        </w:rPr>
        <w:t>Teacher explanation: It combines conditions and hides the higher observed dim-condition error.</w:t>
      </w:r>
    </w:p>
    <w:p>
      <w:pPr>
        <w:pStyle w:val="Heading3"/>
      </w:pPr>
      <w:r>
        <w:t>Distribution shift — W3 Wait for labels</w:t>
      </w:r>
    </w:p>
    <w:p>
      <w:pPr>
        <w:spacing w:line="336" w:lineRule="auto" w:after="180"/>
      </w:pPr>
      <w:r>
        <w:rPr>
          <w:b w:val="0"/>
        </w:rPr>
        <w:t xml:space="preserve">Can changed </w:t>
      </w:r>
      <w:r>
        <w:rPr>
          <w:b/>
        </w:rPr>
        <w:t>prediction</w:t>
      </w:r>
      <w:r>
        <w:rPr>
          <w:b w:val="0"/>
        </w:rPr>
        <w:t>s alone prove an accuracy drop?</w:t>
      </w:r>
    </w:p>
    <w:p>
      <w:pPr>
        <w:spacing w:line="336" w:lineRule="auto" w:after="180"/>
      </w:pPr>
      <w:r>
        <w:rPr>
          <w:b w:val="0"/>
        </w:rPr>
        <w:t xml:space="preserve">Teacher explanation: No. </w:t>
      </w:r>
      <w:r>
        <w:rPr>
          <w:b/>
        </w:rPr>
        <w:t>Prediction</w:t>
      </w:r>
      <w:r>
        <w:rPr>
          <w:b w:val="0"/>
        </w:rPr>
        <w:t xml:space="preserve"> patterns can change without known correctness; valid </w:t>
      </w:r>
      <w:r>
        <w:rPr>
          <w:b/>
        </w:rPr>
        <w:t>reference labels</w:t>
      </w:r>
      <w:r>
        <w:rPr>
          <w:b w:val="0"/>
        </w:rPr>
        <w:t xml:space="preserve"> are needed to measure error.</w:t>
      </w:r>
    </w:p>
    <w:p>
      <w:pPr>
        <w:pStyle w:val="Heading3"/>
      </w:pPr>
      <w:r>
        <w:t>Distribution shift — W4 Apply independently</w:t>
      </w:r>
    </w:p>
    <w:p>
      <w:pPr>
        <w:spacing w:line="336" w:lineRule="auto" w:after="180"/>
      </w:pPr>
      <w:r>
        <w:rPr>
          <w:b w:val="0"/>
        </w:rPr>
        <w:t>Old-like data has 3 errors/30 and new-condition data 5/10. Give both rates and the pooled rate.</w:t>
      </w:r>
    </w:p>
    <w:p>
      <w:pPr>
        <w:spacing w:line="336" w:lineRule="auto" w:after="180"/>
      </w:pPr>
      <w:r>
        <w:rPr>
          <w:b w:val="0"/>
        </w:rPr>
        <w:t>Teacher explanation: Rates 10 percent and 50 percent; pooled 8/40=20 percent. Report both denominators and the 40-point condition gap.</w:t>
      </w:r>
    </w:p>
    <w:p>
      <w:pPr>
        <w:pStyle w:val="Heading3"/>
      </w:pPr>
      <w:r>
        <w:t>Distribution shift — W5 Plan a response</w:t>
      </w:r>
    </w:p>
    <w:p>
      <w:pPr>
        <w:spacing w:line="336" w:lineRule="auto" w:after="180"/>
      </w:pPr>
      <w:r>
        <w:rPr>
          <w:b w:val="0"/>
        </w:rPr>
        <w:t xml:space="preserve">State a safe classroom response to </w:t>
      </w:r>
      <w:r>
        <w:rPr>
          <w:b/>
        </w:rPr>
        <w:t>input</w:t>
      </w:r>
      <w:r>
        <w:rPr>
          <w:b w:val="0"/>
        </w:rPr>
        <w:t>s outside the supported range.</w:t>
      </w:r>
    </w:p>
    <w:p>
      <w:pPr>
        <w:spacing w:line="336" w:lineRule="auto" w:after="180"/>
      </w:pPr>
      <w:r>
        <w:rPr>
          <w:b w:val="0"/>
        </w:rPr>
        <w:t xml:space="preserve">Teacher explanation: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Improve Plant Classifier with one approved change and a full before/after </w:t>
      </w:r>
      <w:r>
        <w:rPr>
          <w:b/>
        </w:rPr>
        <w:t>evidence</w:t>
      </w:r>
      <w:r>
        <w:rPr>
          <w:b w:val="0"/>
        </w:rPr>
        <w:t xml:space="preserve"> table.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Use coloured background cards and distinct plant/source IDs to physically pair views. Supply blank before/after prediction tables rather than an inferred cause. Extend by testing a training-size-matched control before attributing benefits uniquely to crossed-condition diversity.</w:t>
      </w:r>
    </w:p>
    <w:p>
      <w:pPr>
        <w:spacing w:line="336" w:lineRule="auto" w:after="180"/>
      </w:pPr>
      <w:r>
        <w:rPr>
          <w:b w:val="0"/>
        </w:rPr>
        <w:t xml:space="preserve">Selected independent task is the blue/white background plan. Require crossed class/background development examples,same-leaf fixed-model diagnostics,plant-group separation,one justified revision and fresh frozen-version final comparison. Correlation alone proves no shortcut,and no outputs are supplied. The earlier capacity tie question is review. Fresh retry:all positive </w:t>
      </w:r>
      <w:r>
        <w:rPr>
          <w:b/>
        </w:rPr>
        <w:t>training</w:t>
      </w:r>
      <w:r>
        <w:rPr>
          <w:b w:val="0"/>
        </w:rPr>
        <w:t xml:space="preserve"> objects use one camera,negative use another;require crossed camera/class diagnostics and source-separated evaluation without inventing scores.</w:t>
      </w:r>
    </w:p>
    <w:p>
      <w:pPr>
        <w:pStyle w:val="Heading2"/>
      </w:pPr>
      <w:r>
        <w:t>Delayed return</w:t>
      </w:r>
    </w:p>
    <w:p>
      <w:pPr>
        <w:spacing w:line="336" w:lineRule="auto" w:after="180"/>
      </w:pPr>
      <w:r>
        <w:rPr>
          <w:b w:val="0"/>
        </w:rPr>
        <w:t>Suggested return points in this level: ai-4/31, ai-4/33,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31: Subgroup Performance. Retrieve today’s </w:t>
      </w:r>
      <w:r>
        <w:rPr>
          <w:b/>
        </w:rPr>
        <w:t>evidence</w:t>
      </w:r>
      <w:r>
        <w:rPr>
          <w:b w:val="0"/>
        </w:rPr>
        <w:t xml:space="preserve"> and identify what carries forward and what is new.</w:t>
      </w:r>
    </w:p>
    <w:p>
      <w:pPr>
        <w:spacing w:line="336" w:lineRule="auto" w:after="180"/>
      </w:pPr>
      <w:r>
        <w:rPr>
          <w:b w:val="0"/>
        </w:rPr>
        <w:t>Next is Week 31: Subgroup Performance. Carry forward fixed validation membership,source groups,all before/after errors and the exact development change. Learning curves were Week 28;this week tests a targeted improvement rather than repeating that lesson.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Extension support and reassessment · reference / check after trying</w:t>
      </w:r>
    </w:p>
    <w:p>
      <w:pPr>
        <w:pStyle w:val="Heading3"/>
      </w:pPr>
      <w:r>
        <w:t>Readiness and reassessment for Distribution shift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distribution shift</w:t>
      </w:r>
      <w:r>
        <w:rPr>
          <w:b w:val="0"/>
        </w:rPr>
        <w:t xml:space="preserve"> and </w:t>
      </w:r>
      <w:r>
        <w:rPr>
          <w:b/>
        </w:rPr>
        <w:t>monitoring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Rates 10 percent and 50 percent; pooled 8/40=20 percent. Report both denominators and the 40-point condition gap.</w:t>
      </w:r>
    </w:p>
    <w:p>
      <w:pPr>
        <w:spacing w:line="336" w:lineRule="auto" w:after="180"/>
      </w:pPr>
      <w:r>
        <w:rPr>
          <w:b w:val="0"/>
        </w:rPr>
        <w:t>Fresh retry condition A 1/10 errors and B 3/10:10 and 30 percent, pooled 4/20=20 percent. Require separate counts and no causal claim from the table alone. Mark each criterion as independent, supported or not yet demonstrated.</w:t>
      </w:r>
    </w:p>
    <w:p>
      <w:pPr>
        <w:spacing w:line="336" w:lineRule="auto" w:after="180"/>
      </w:pPr>
      <w:r>
        <w:rPr>
          <w:b w:val="0"/>
        </w:rPr>
        <w:t>Reassess the reasoning after feedback; do not replace the first attempt silently.</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unchanged model predicts spotted for both red-background classes and healthy for both grey-background classes. Require a </w:t>
      </w:r>
      <w:r>
        <w:rPr>
          <w:b/>
        </w:rPr>
        <w:t>prediction</w:t>
      </w:r>
      <w:r>
        <w:rPr>
          <w:b w:val="0"/>
        </w:rPr>
        <w:t xml:space="preserve"> and a reason before comparing.</w:t>
      </w:r>
    </w:p>
    <w:p>
      <w:pPr>
        <w:spacing w:line="336" w:lineRule="auto" w:after="180"/>
      </w:pPr>
      <w:r>
        <w:rPr>
          <w:b w:val="0"/>
        </w:rPr>
        <w:t xml:space="preserve">Expected result: It fails on spotted/grey and healthy/red in the crossed audit. Reason: Those supplied </w:t>
      </w:r>
      <w:r>
        <w:rPr>
          <w:b/>
        </w:rPr>
        <w:t>prediction</w:t>
      </w:r>
      <w:r>
        <w:rPr>
          <w:b w:val="0"/>
        </w:rPr>
        <w:t>s follow background rather than the intended leaf target.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Improve Generalization: the case</w:t>
      </w:r>
    </w:p>
    <w:p>
      <w:r>
        <w:drawing>
          <wp:inline xmlns:a="http://schemas.openxmlformats.org/drawingml/2006/main" xmlns:pic="http://schemas.openxmlformats.org/drawingml/2006/picture">
            <wp:extent cx="5486400" cy="3142488"/>
            <wp:docPr id="3" name="Picture 3"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4" name="Picture 4"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9"/>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Overfitting and model capacity at a glance</w:t>
      </w:r>
    </w:p>
    <w:p>
      <w:r>
        <w:drawing>
          <wp:inline xmlns:a="http://schemas.openxmlformats.org/drawingml/2006/main" xmlns:pic="http://schemas.openxmlformats.org/drawingml/2006/picture">
            <wp:extent cx="5486400" cy="2880360"/>
            <wp:docPr id="5" name="Picture 5"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12"/>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Those supplied </w:t>
      </w:r>
      <w:r>
        <w:rPr>
          <w:b/>
        </w:rPr>
        <w:t>prediction</w:t>
      </w:r>
      <w:r>
        <w:rPr>
          <w:b w:val="0"/>
        </w:rPr>
        <w:t>s follow background rather than the intended leaf target.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One controlled audit can reveal a shortcut in this toy setting without proving how every internal feature is represented.</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Freeze the revised model and score new grouped crossed-background examples; reused audit cases remain development </w:t>
      </w:r>
      <w:r>
        <w:rPr>
          <w:b/>
        </w:rPr>
        <w:t>evidence</w:t>
      </w:r>
      <w:r>
        <w:rPr>
          <w:b w:val="0"/>
        </w:rPr>
        <w:t>.</w:t>
      </w:r>
    </w:p>
    <w:p>
      <w:pPr>
        <w:spacing w:line="336" w:lineRule="auto" w:after="180"/>
      </w:pPr>
      <w:r>
        <w:rPr>
          <w:b w:val="0"/>
        </w:rPr>
        <w:t xml:space="preserve">Changed-case check: It fails on spotted/grey and healthy/red in the crossed audit. Those supplied </w:t>
      </w:r>
      <w:r>
        <w:rPr>
          <w:b/>
        </w:rPr>
        <w:t>prediction</w:t>
      </w:r>
      <w:r>
        <w:rPr>
          <w:b w:val="0"/>
        </w:rPr>
        <w:t>s follow background rather than the intended leaf target.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Generalization: the case</w:t>
      </w:r>
    </w:p>
    <w:p>
      <w:pPr>
        <w:pStyle w:val="Heading3"/>
      </w:pPr>
      <w:r>
        <w:t>02. Follow the deciding steps</w:t>
      </w:r>
    </w:p>
    <w:p>
      <w:pPr>
        <w:pStyle w:val="Heading3"/>
      </w:pPr>
      <w:r>
        <w:t>03. Overfitting and model capacity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