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ai-6/18</w:t>
      </w:r>
    </w:p>
    <w:p>
      <w:pPr>
        <w:pStyle w:val="Title"/>
      </w:pPr>
      <w:r>
        <w:t>Untrusted input boundaries</w:t>
      </w:r>
    </w:p>
    <w:p>
      <w:r>
        <w:t>Project: Grounded Learning Service</w:t>
      </w:r>
    </w:p>
    <w:p>
      <w:pPr>
        <w:pStyle w:val="Heading1"/>
      </w:pPr>
      <w:r>
        <w:t>Ask which gate has actually passed and what evidence the next gate still needs.</w:t>
      </w:r>
    </w:p>
    <w:p>
      <w:r>
        <w:t>Use visible whitespace, exact case, trusted fixture scope and no-lookup assertions without claiming universal input security.</w:t>
      </w:r>
    </w:p>
    <w:p>
      <w:r>
        <w:t>Model shape versus access → compare distinct contracts → inspect local lookup traces → assess fresh C0 values → preserve safe regression fixtures.</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w:t>
      </w:r>
      <w:r>
        <w:rPr>
          <w:b/>
        </w:rPr>
        <w:t>untrusted input</w:t>
      </w:r>
      <w:r>
        <w:rPr>
          <w:b w:val="0"/>
        </w:rPr>
        <w:t xml:space="preserve"> boundaries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External side effects and recovery.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external side effects and recovery</w:t>
      </w:r>
    </w:p>
    <w:p>
      <w:pPr>
        <w:spacing w:line="336" w:lineRule="auto" w:after="180"/>
      </w:pPr>
      <w:r>
        <w:rPr>
          <w:b w:val="0"/>
        </w:rPr>
        <w:t>Reference example, not the only acceptable wording: Teacher explanation: External effects can succeed while their acknowledgement is lost. Recovery must inspect committed state before repeating the operation.</w:t>
      </w:r>
    </w:p>
    <w:p>
      <w:pPr>
        <w:spacing w:line="336" w:lineRule="auto" w:after="180"/>
      </w:pPr>
      <w:r>
        <w:rPr>
          <w:b w:val="0"/>
        </w:rPr>
        <w:t>The mock ledger records prepared, committed or unknown per operation ID. Retry a committed operation by returning its result; reconcile unknown status instead of assuming failure.</w:t>
      </w:r>
    </w:p>
    <w:p>
      <w:pPr>
        <w:spacing w:line="336" w:lineRule="auto" w:after="180"/>
      </w:pPr>
      <w:r>
        <w:rPr>
          <w:b w:val="0"/>
        </w:rPr>
        <w:t>Preserve compensation as a separate authorised action.</w:t>
      </w:r>
    </w:p>
    <w:p>
      <w:pPr>
        <w:spacing w:line="336" w:lineRule="auto" w:after="180"/>
      </w:pPr>
      <w:r>
        <w:rPr>
          <w:b w:val="0"/>
        </w:rPr>
        <w:t>Without opening the old lesson, explain one key idea from Approval gates and idempotency.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approval gates and idempotency</w:t>
      </w:r>
    </w:p>
    <w:p>
      <w:pPr>
        <w:spacing w:line="336" w:lineRule="auto" w:after="180"/>
      </w:pPr>
      <w:r>
        <w:rPr>
          <w:b w:val="0"/>
        </w:rPr>
        <w:t>Reference example, not the only acceptable wording: Teacher explanation: Approval gates bind side effects to an actor, exact version and destination.</w:t>
      </w:r>
    </w:p>
    <w:p>
      <w:pPr>
        <w:spacing w:line="336" w:lineRule="auto" w:after="180"/>
      </w:pPr>
      <w:r>
        <w:rPr>
          <w:b w:val="0"/>
        </w:rPr>
        <w:t>Idempotency prevents repeated requests with the same key from repeating a committed effect. The mock submission requires approval for request version v1 and destination D. Store key -&gt; committed result.</w:t>
      </w:r>
    </w:p>
    <w:p>
      <w:pPr>
        <w:spacing w:line="336" w:lineRule="auto" w:after="180"/>
      </w:pPr>
      <w:r>
        <w:rPr>
          <w:b w:val="0"/>
        </w:rPr>
        <w:t>Reusing the same key with the same payload returns that result; the same key with different payload is rejected.</w:t>
      </w:r>
    </w:p>
    <w:p>
      <w:pPr>
        <w:spacing w:line="336" w:lineRule="auto" w:after="180"/>
      </w:pPr>
      <w:r>
        <w:rPr>
          <w:b w:val="0"/>
        </w:rPr>
        <w:t>Without opening the old lesson, explain one key idea from Logs traces and privacy.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logs traces and privacy</w:t>
      </w:r>
    </w:p>
    <w:p>
      <w:pPr>
        <w:spacing w:line="336" w:lineRule="auto" w:after="180"/>
      </w:pPr>
      <w:r>
        <w:rPr>
          <w:b w:val="0"/>
        </w:rPr>
        <w:t xml:space="preserve">Reference example, not the only acceptable wording: Teacher explanation: Logs support diagnosis, but excessive recording can expose private content. Trace IDs link stages without storing complete sensitive </w:t>
      </w:r>
      <w:r>
        <w:rPr>
          <w:b/>
        </w:rPr>
        <w:t>input</w:t>
      </w:r>
      <w:r>
        <w:rPr>
          <w:b w:val="0"/>
        </w:rPr>
        <w:t>s.</w:t>
      </w:r>
    </w:p>
    <w:p>
      <w:pPr>
        <w:spacing w:line="336" w:lineRule="auto" w:after="180"/>
      </w:pPr>
      <w:r>
        <w:rPr>
          <w:b w:val="0"/>
        </w:rPr>
        <w:t>For this policy log trace ID, stage, status, duration and error category; do not log passcodes, student text or teacher answers. Restrict access and declare retention.</w:t>
      </w:r>
    </w:p>
    <w:p>
      <w:pPr>
        <w:pStyle w:val="Heading2"/>
      </w:pPr>
      <w:r>
        <w:t>Pictured end goal</w:t>
      </w:r>
    </w:p>
    <w:p>
      <w:pPr>
        <w:spacing w:line="336" w:lineRule="auto" w:after="180"/>
      </w:pPr>
      <w:r>
        <w:rPr>
          <w:b w:val="0"/>
        </w:rPr>
        <w:t xml:space="preserve">Explain </w:t>
      </w:r>
      <w:r>
        <w:rPr>
          <w:b/>
        </w:rPr>
        <w:t>untrusted input</w:t>
      </w:r>
      <w:r>
        <w:rPr>
          <w:b w:val="0"/>
        </w:rPr>
        <w:t xml:space="preserve"> boundaries using the deciding step in this fictional service.</w:t>
      </w:r>
    </w:p>
    <w:p>
      <w:pPr>
        <w:pStyle w:val="Heading2"/>
      </w:pPr>
      <w:r>
        <w:t>Earlier wording, alternatives and picture transcripts · reference / check after trying</w:t>
      </w:r>
    </w:p>
    <w:p>
      <w:pPr>
        <w:pStyle w:val="Heading3"/>
      </w:pPr>
      <w:r>
        <w:t>Teach the learning cycle</w:t>
      </w:r>
    </w:p>
    <w:p>
      <w:pPr>
        <w:spacing w:line="336" w:lineRule="auto" w:after="180"/>
      </w:pPr>
      <w:r>
        <w:rPr>
          <w:b w:val="0"/>
        </w:rPr>
        <w:t>Case exposure check: this source example appears in ai-3/31, ai-6/18. Reuse a familiar case for recall or modelling; verify that the case used to assess transfer has not already received feedback.</w:t>
      </w:r>
    </w:p>
    <w:p>
      <w:pPr>
        <w:pStyle w:val="Heading3"/>
      </w:pPr>
      <w:r>
        <w:t>Retrieval answer guidance</w:t>
      </w:r>
    </w:p>
    <w:p>
      <w:pPr>
        <w:pStyle w:val="Heading3"/>
      </w:pPr>
      <w:r>
        <w:t>External side effects and recovery</w:t>
      </w:r>
    </w:p>
    <w:p>
      <w:pPr>
        <w:pStyle w:val="Heading3"/>
      </w:pPr>
      <w:r>
        <w:t>Approval gates and idempotency</w:t>
      </w:r>
    </w:p>
    <w:p>
      <w:pPr>
        <w:pStyle w:val="Heading3"/>
      </w:pPr>
      <w:r>
        <w:t>Logs traces and privacy</w:t>
      </w:r>
    </w:p>
    <w:p>
      <w:pPr>
        <w:spacing w:line="336" w:lineRule="auto" w:after="180"/>
      </w:pPr>
      <w:r>
        <w:rPr>
          <w:b w:val="0"/>
        </w:rPr>
        <w:t xml:space="preserve">Use the three-session teaching cycle above, with extra time as needed. </w:t>
      </w:r>
      <w:r>
        <w:rPr>
          <w:b/>
        </w:rPr>
        <w:t>Untrusted input</w:t>
      </w:r>
      <w:r>
        <w:rPr>
          <w:b w:val="0"/>
        </w:rPr>
        <w:t xml:space="preserve"> must be treated according to a contract before reaching code, queries or tools. Data that resembles instructions does not acquire execution authority.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untrusted input</w:t>
      </w:r>
      <w:r>
        <w:rPr>
          <w:b w:val="0"/>
        </w:rPr>
        <w:t xml:space="preserve"> boundaries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exact data contracts without turning validation into authority</w:t>
      </w:r>
    </w:p>
    <w:p>
      <w:r>
        <w:t>Keep main uppercase, pictured lowercase and selected independent cases distinct.</w:t>
      </w:r>
    </w:p>
    <w:p>
      <w:pPr>
        <w:pStyle w:val="Heading2"/>
      </w:pPr>
      <w:r>
        <w:t>Definitions and complete main/local-extension contract</w:t>
      </w:r>
    </w:p>
    <w:p>
      <w:pPr>
        <w:spacing w:line="336" w:lineRule="auto" w:after="180"/>
      </w:pPr>
      <w:r>
        <w:rPr>
          <w:b/>
        </w:rPr>
        <w:t>Untrusted input</w:t>
      </w:r>
      <w:r>
        <w:rPr>
          <w:b w:val="0"/>
        </w:rPr>
        <w:t xml:space="preserve"> must be treated according to a contract before reaching code, queries or tools. Data that resembles instructions does not acquire execution authority.</w:t>
      </w:r>
    </w:p>
    <w:p>
      <w:pPr>
        <w:spacing w:line="336" w:lineRule="auto" w:after="180"/>
      </w:pPr>
      <w:r>
        <w:rPr>
          <w:b w:val="0"/>
        </w:rPr>
        <w:t>For the toy lookup accept room IDs matching one ASCII uppercase letter plus one ASCII digit, with no trimming. Perform exact dictionary lookup; never evaluate user strings as code. Reject invalid length or characters.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uppercase contract and local extension</w:t>
            </w:r>
          </w:p>
        </w:tc>
        <w:tc>
          <w:tcPr>
            <w:tcW w:type="dxa" w:w="5112"/>
          </w:tcPr>
          <w:p>
            <w:r>
              <w:t>Complete rule or fixture</w:t>
            </w:r>
          </w:p>
        </w:tc>
      </w:tr>
      <w:tr>
        <w:tc>
          <w:tcPr>
            <w:tcW w:type="dxa" w:w="5112"/>
          </w:tcPr>
          <w:p>
            <w:r>
              <w:t>Input type and shape</w:t>
            </w:r>
          </w:p>
        </w:tc>
        <w:tc>
          <w:tcPr>
            <w:tcW w:type="dxa" w:w="5112"/>
          </w:tcPr>
          <w:p>
            <w:r>
              <w:t>Exact Python str, whole input matching [A-Z][0-9]</w:t>
            </w:r>
          </w:p>
        </w:tc>
      </w:tr>
      <w:tr>
        <w:tc>
          <w:tcPr>
            <w:tcW w:type="dxa" w:w="5112"/>
          </w:tcPr>
          <w:p>
            <w:r>
              <w:t>Normalization</w:t>
            </w:r>
          </w:p>
        </w:tc>
        <w:tc>
          <w:tcPr>
            <w:tcW w:type="dxa" w:w="5112"/>
          </w:tcPr>
          <w:p>
            <w:r>
              <w:t>None: no trimming, case conversion or coercion</w:t>
            </w:r>
          </w:p>
        </w:tc>
      </w:tr>
      <w:tr>
        <w:tc>
          <w:tcPr>
            <w:tcW w:type="dxa" w:w="5112"/>
          </w:tcPr>
          <w:p>
            <w:r>
              <w:t>Trusted allowed IDs in the local extension</w:t>
            </w:r>
          </w:p>
        </w:tc>
        <w:tc>
          <w:tcPr>
            <w:tcW w:type="dxa" w:w="5112"/>
          </w:tcPr>
          <w:p>
            <w:r>
              <w:t>A1 and D4, supplied by the test harness</w:t>
            </w:r>
          </w:p>
        </w:tc>
      </w:tr>
      <w:tr>
        <w:tc>
          <w:tcPr>
            <w:tcW w:type="dxa" w:w="5112"/>
          </w:tcPr>
          <w:p>
            <w:r>
              <w:t>Local records</w:t>
            </w:r>
          </w:p>
        </w:tc>
        <w:tc>
          <w:tcPr>
            <w:tcW w:type="dxa" w:w="5112"/>
          </w:tcPr>
          <w:p>
            <w:r>
              <w:t>A1 has capacity 12/source ROOM-A1; B2 exists but is not in the allowed scope</w:t>
            </w:r>
          </w:p>
        </w:tc>
      </w:tr>
      <w:tr>
        <w:tc>
          <w:tcPr>
            <w:tcW w:type="dxa" w:w="5112"/>
          </w:tcPr>
          <w:p>
            <w:r>
              <w:t>Authorized but absent ID</w:t>
            </w:r>
          </w:p>
        </w:tc>
        <w:tc>
          <w:tcPr>
            <w:tcW w:type="dxa" w:w="5112"/>
          </w:tcPr>
          <w:p>
            <w:r>
              <w:t>D4 returns review after a permitted lookup</w:t>
            </w:r>
          </w:p>
        </w:tc>
      </w:tr>
      <w:tr>
        <w:tc>
          <w:tcPr>
            <w:tcW w:type="dxa" w:w="5112"/>
          </w:tcPr>
          <w:p>
            <w:r>
              <w:t>Response fields</w:t>
            </w:r>
          </w:p>
        </w:tc>
        <w:tc>
          <w:tcPr>
            <w:tcW w:type="dxa" w:w="5112"/>
          </w:tcPr>
          <w:p>
            <w:r>
              <w:t>Only status, room_id, capacity and source_id; record fields are checked</w:t>
            </w:r>
          </w:p>
        </w:tc>
      </w:tr>
      <w:tr>
        <w:tc>
          <w:tcPr>
            <w:tcW w:type="dxa" w:w="5112"/>
          </w:tcPr>
          <w:p>
            <w:r>
              <w:t>Instruction-shaped input</w:t>
            </w:r>
          </w:p>
        </w:tc>
        <w:tc>
          <w:tcPr>
            <w:tcW w:type="dxa" w:w="5112"/>
          </w:tcPr>
          <w:p>
            <w:r>
              <w:t>delete_all() fails shape; no input is evaluated as code</w:t>
            </w:r>
          </w:p>
        </w:tc>
      </w:tr>
      <w:tr>
        <w:tc>
          <w:tcPr>
            <w:tcW w:type="dxa" w:w="5112"/>
          </w:tcPr>
          <w:p>
            <w:r>
              <w:t>Observation</w:t>
            </w:r>
          </w:p>
        </w:tc>
        <w:tc>
          <w:tcPr>
            <w:tcW w:type="dxa" w:w="5112"/>
          </w:tcPr>
          <w:p>
            <w:r>
              <w:t>Lookup-call IDs and an unchanged source snapshot</w:t>
            </w:r>
          </w:p>
        </w:tc>
      </w:tr>
      <w:tr>
        <w:tc>
          <w:tcPr>
            <w:tcW w:type="dxa" w:w="5112"/>
          </w:tcPr>
          <w:p>
            <w:r>
              <w:t>Scope</w:t>
            </w:r>
          </w:p>
        </w:tc>
        <w:tc>
          <w:tcPr>
            <w:tcW w:type="dxa" w:w="5112"/>
          </w:tcPr>
          <w:p>
            <w:r>
              <w:t>Fictional records and trusted-scope fixtures, not real authentication or universal injection protection</w:t>
            </w:r>
          </w:p>
        </w:tc>
      </w:tr>
    </w:tbl>
    <w:p>
      <w:pPr>
        <w:pStyle w:val="Heading2"/>
      </w:pPr>
      <w:r>
        <w:t>Four gate paths and checked reasoning</w:t>
      </w:r>
    </w:p>
    <w:p>
      <w:pPr>
        <w:pStyle w:val="Heading3"/>
      </w:pPr>
      <w:r>
        <w:t>Validate shape, then authorize, then look up data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Supplied input</w:t>
            </w:r>
          </w:p>
        </w:tc>
        <w:tc>
          <w:tcPr>
            <w:tcW w:type="dxa" w:w="3408"/>
          </w:tcPr>
          <w:p>
            <w:r>
              <w:t>Checks and permitted lookup</w:t>
            </w:r>
          </w:p>
        </w:tc>
        <w:tc>
          <w:tcPr>
            <w:tcW w:type="dxa" w:w="3408"/>
          </w:tcPr>
          <w:p>
            <w:r>
              <w:t>Local result</w:t>
            </w:r>
          </w:p>
        </w:tc>
      </w:tr>
      <w:tr>
        <w:tc>
          <w:tcPr>
            <w:tcW w:type="dxa" w:w="3408"/>
          </w:tcPr>
          <w:p>
            <w:r>
              <w:t>A1</w:t>
            </w:r>
          </w:p>
        </w:tc>
        <w:tc>
          <w:tcPr>
            <w:tcW w:type="dxa" w:w="3408"/>
          </w:tcPr>
          <w:p>
            <w:r>
              <w:t>Whole shape passes; trusted scope allows; exact record exists</w:t>
            </w:r>
          </w:p>
        </w:tc>
        <w:tc>
          <w:tcPr>
            <w:tcW w:type="dxa" w:w="3408"/>
          </w:tcPr>
          <w:p>
            <w:r>
              <w:t>Answer capacity12 with source ROOM-A1</w:t>
            </w:r>
          </w:p>
        </w:tc>
      </w:tr>
      <w:tr>
        <w:tc>
          <w:tcPr>
            <w:tcW w:type="dxa" w:w="3408"/>
          </w:tcPr>
          <w:p>
            <w:r>
              <w:t>delete_all()</w:t>
            </w:r>
          </w:p>
        </w:tc>
        <w:tc>
          <w:tcPr>
            <w:tcW w:type="dxa" w:w="3408"/>
          </w:tcPr>
          <w:p>
            <w:r>
              <w:t>Whole shape fails before access or lookup</w:t>
            </w:r>
          </w:p>
        </w:tc>
        <w:tc>
          <w:tcPr>
            <w:tcW w:type="dxa" w:w="3408"/>
          </w:tcPr>
          <w:p>
            <w:r>
              <w:t>invalid_input; no instruction executes</w:t>
            </w:r>
          </w:p>
        </w:tc>
      </w:tr>
      <w:tr>
        <w:tc>
          <w:tcPr>
            <w:tcW w:type="dxa" w:w="3408"/>
          </w:tcPr>
          <w:p>
            <w:r>
              <w:t>B2</w:t>
            </w:r>
          </w:p>
        </w:tc>
        <w:tc>
          <w:tcPr>
            <w:tcW w:type="dxa" w:w="3408"/>
          </w:tcPr>
          <w:p>
            <w:r>
              <w:t>Shape passes, trusted access excludes it</w:t>
            </w:r>
          </w:p>
        </w:tc>
        <w:tc>
          <w:tcPr>
            <w:tcW w:type="dxa" w:w="3408"/>
          </w:tcPr>
          <w:p>
            <w:r>
              <w:t>denied; no record lookup</w:t>
            </w:r>
          </w:p>
        </w:tc>
      </w:tr>
      <w:tr>
        <w:tc>
          <w:tcPr>
            <w:tcW w:type="dxa" w:w="3408"/>
          </w:tcPr>
          <w:p>
            <w:r>
              <w:t>D4</w:t>
            </w:r>
          </w:p>
        </w:tc>
        <w:tc>
          <w:tcPr>
            <w:tcW w:type="dxa" w:w="3408"/>
          </w:tcPr>
          <w:p>
            <w:r>
              <w:t>Shape passes and access allows, but record absent</w:t>
            </w:r>
          </w:p>
        </w:tc>
        <w:tc>
          <w:tcPr>
            <w:tcW w:type="dxa" w:w="3408"/>
          </w:tcPr>
          <w:p>
            <w:r>
              <w:t>review; do not invent a capacity</w:t>
            </w:r>
          </w:p>
        </w:tc>
      </w:tr>
    </w:tbl>
    <w:p>
      <w:r>
        <w:t>The original worked case classifies A1 and instruction-shaped text. This explicitly supplied local extension additionally tests authority, existence and response fields.</w:t>
      </w:r>
    </w:p>
    <w:p>
      <w:pPr>
        <w:spacing w:line="336" w:lineRule="auto" w:after="180"/>
      </w:pPr>
      <w:r>
        <w:rPr>
          <w:b w:val="0"/>
        </w:rPr>
        <w:t>Require exact ASCII full-match and no normalization for the main uppercase contract. A1 passes shape and the explicitly added local fixture supplies permission/data; the original format result alone was not a measured record lookup. delete_all() remains data and fails shape, B2 is denied before lookup, and authorized-but-absent D4 reviews. The picture uses lowercase rather than uppercase.</w:t>
      </w:r>
    </w:p>
    <w:p>
      <w:pPr>
        <w:spacing w:line="336" w:lineRule="auto" w:after="180"/>
      </w:pPr>
      <w:r>
        <w:rPr>
          <w:b w:val="0"/>
        </w:rPr>
        <w:t>The selected current C0 task is different from retained older B2 practice: classify only its stated values and explain the separate authority gate. Keep diagnostic records within privacy policy; local code success is not a universal injection-defense claim.</w:t>
      </w:r>
    </w:p>
    <w:p>
      <w:pPr>
        <w:pStyle w:val="Heading3"/>
      </w:pPr>
      <w:r>
        <w:t>Untrusted input boundaries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Inputs A1 and delete_all() are supplied to room lookup.</w:t>
            </w:r>
          </w:p>
        </w:tc>
        <w:tc>
          <w:tcPr>
            <w:tcW w:type="dxa" w:w="3408"/>
          </w:tcPr>
          <w:p>
            <w:r>
              <w:t>For the toy lookup accept room IDs matching one ASCII uppercase letter plus one ASCII digit, with no trimming. Perform exact dictionary lookup; never evaluate user strings as code. Reject invalid length or characters.</w:t>
            </w:r>
          </w:p>
        </w:tc>
        <w:tc>
          <w:tcPr>
            <w:tcW w:type="dxa" w:w="3408"/>
          </w:tcPr>
          <w:p>
            <w:r>
              <w:t>A1 passes the format; delete_all() fails. Neither is executed as code, including any instruction-shaped string.</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Guided: A1 passes the format; delete_all() fails. Neither is executed as code, including any instruction-shaped string. Qualification: A format check does not grant resource access; authorisation follows separately.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rPr>
        <w:t>Input</w:t>
      </w:r>
      <w:r>
        <w:rPr>
          <w:b w:val="0"/>
        </w:rPr>
        <w:t>s A1 and delete_all() are supplied to room lookup.</w:t>
      </w:r>
    </w:p>
    <w:p>
      <w:pPr>
        <w:spacing w:line="336" w:lineRule="auto" w:after="180"/>
      </w:pPr>
      <w:r>
        <w:rPr>
          <w:b w:val="0"/>
        </w:rPr>
        <w:t>A1 passes the format; delete_all() fails. Neither is executed as code, including any instruction-shaped string.</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 xml:space="preserve">s. The conclusion belongs to this scenario and procedure; changing the </w:t>
      </w:r>
      <w:r>
        <w:rPr>
          <w:b/>
        </w:rPr>
        <w:t>input</w:t>
      </w:r>
      <w:r>
        <w:rPr>
          <w:b w:val="0"/>
        </w:rPr>
        <w:t>s, evaluation population or authority can change what it establishes. Retain a policy-compliant diagnostic record of the outcome so a later revision can be compared honestly.</w:t>
      </w:r>
    </w:p>
    <w:p>
      <w:pPr>
        <w:pStyle w:val="Heading2"/>
      </w:pPr>
      <w:r>
        <w:t>Whole-input, type, Unicode and access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Input or boundary probe</w:t>
            </w:r>
          </w:p>
        </w:tc>
        <w:tc>
          <w:tcPr>
            <w:tcW w:type="dxa" w:w="5112"/>
          </w:tcPr>
          <w:p>
            <w:r>
              <w:t>Expected interpretation</w:t>
            </w:r>
          </w:p>
        </w:tc>
      </w:tr>
      <w:tr>
        <w:tc>
          <w:tcPr>
            <w:tcW w:type="dxa" w:w="5112"/>
          </w:tcPr>
          <w:p>
            <w:r>
              <w:t>A1 under the main contract</w:t>
            </w:r>
          </w:p>
        </w:tc>
        <w:tc>
          <w:tcPr>
            <w:tcW w:type="dxa" w:w="5112"/>
          </w:tcPr>
          <w:p>
            <w:r>
              <w:t>Shape passes; only separate trusted scope and record evidence permit the example answer</w:t>
            </w:r>
          </w:p>
        </w:tc>
      </w:tr>
      <w:tr>
        <w:tc>
          <w:tcPr>
            <w:tcW w:type="dxa" w:w="5112"/>
          </w:tcPr>
          <w:p>
            <w:r>
              <w:t>a1, A11 or A1 with trailing space/newline</w:t>
            </w:r>
          </w:p>
        </w:tc>
        <w:tc>
          <w:tcPr>
            <w:tcW w:type="dxa" w:w="5112"/>
          </w:tcPr>
          <w:p>
            <w:r>
              <w:t>Main whole-input shape fails; do not trim or change case</w:t>
            </w:r>
          </w:p>
        </w:tc>
      </w:tr>
      <w:tr>
        <w:tc>
          <w:tcPr>
            <w:tcW w:type="dxa" w:w="5112"/>
          </w:tcPr>
          <w:p>
            <w:r>
              <w:t>Fullwidth characters or a non-ASCII digit</w:t>
            </w:r>
          </w:p>
        </w:tc>
        <w:tc>
          <w:tcPr>
            <w:tcW w:type="dxa" w:w="5112"/>
          </w:tcPr>
          <w:p>
            <w:r>
              <w:t>Do not match the declared ASCII ranges</w:t>
            </w:r>
          </w:p>
        </w:tc>
      </w:tr>
      <w:tr>
        <w:tc>
          <w:tcPr>
            <w:tcW w:type="dxa" w:w="5112"/>
          </w:tcPr>
          <w:p>
            <w:r>
              <w:t>None or another non-string type</w:t>
            </w:r>
          </w:p>
        </w:tc>
        <w:tc>
          <w:tcPr>
            <w:tcW w:type="dxa" w:w="5112"/>
          </w:tcPr>
          <w:p>
            <w:r>
              <w:t>Fail before regex matching; no implicit conversion</w:t>
            </w:r>
          </w:p>
        </w:tc>
      </w:tr>
      <w:tr>
        <w:tc>
          <w:tcPr>
            <w:tcW w:type="dxa" w:w="5112"/>
          </w:tcPr>
          <w:p>
            <w:r>
              <w:t>delete_all()</w:t>
            </w:r>
          </w:p>
        </w:tc>
        <w:tc>
          <w:tcPr>
            <w:tcW w:type="dxa" w:w="5112"/>
          </w:tcPr>
          <w:p>
            <w:r>
              <w:t>Instruction-shaped data fails the format and is never executed</w:t>
            </w:r>
          </w:p>
        </w:tc>
      </w:tr>
      <w:tr>
        <w:tc>
          <w:tcPr>
            <w:tcW w:type="dxa" w:w="5112"/>
          </w:tcPr>
          <w:p>
            <w:r>
              <w:t>Valid B2 outside trusted scope</w:t>
            </w:r>
          </w:p>
        </w:tc>
        <w:tc>
          <w:tcPr>
            <w:tcW w:type="dxa" w:w="5112"/>
          </w:tcPr>
          <w:p>
            <w:r>
              <w:t>Deny before lookup, even if a fixture record exists</w:t>
            </w:r>
          </w:p>
        </w:tc>
      </w:tr>
      <w:tr>
        <w:tc>
          <w:tcPr>
            <w:tcW w:type="dxa" w:w="5112"/>
          </w:tcPr>
          <w:p>
            <w:r>
              <w:t>Valid authorized D4 with no record</w:t>
            </w:r>
          </w:p>
        </w:tc>
        <w:tc>
          <w:tcPr>
            <w:tcW w:type="dxa" w:w="5112"/>
          </w:tcPr>
          <w:p>
            <w:r>
              <w:t>Review after lookup, without inventing content</w:t>
            </w:r>
          </w:p>
        </w:tc>
      </w:tr>
      <w:tr>
        <w:tc>
          <w:tcPr>
            <w:tcW w:type="dxa" w:w="5112"/>
          </w:tcPr>
          <w:p>
            <w:r>
              <w:t>Lowercase-picture z0</w:t>
            </w:r>
          </w:p>
        </w:tc>
        <w:tc>
          <w:tcPr>
            <w:tcW w:type="dxa" w:w="5112"/>
          </w:tcPr>
          <w:p>
            <w:r>
              <w:t>Shape only; authority remains a separate question</w:t>
            </w:r>
          </w:p>
        </w:tc>
      </w:tr>
      <w:tr>
        <w:tc>
          <w:tcPr>
            <w:tcW w:type="dxa" w:w="5112"/>
          </w:tcPr>
          <w:p>
            <w:r>
              <w:t>All these local probes pass</w:t>
            </w:r>
          </w:p>
        </w:tc>
        <w:tc>
          <w:tcPr>
            <w:tcW w:type="dxa" w:w="5112"/>
          </w:tcPr>
          <w:p>
            <w:r>
              <w:t>No proof that every query, shell, model or deployed input boundary is protected</w:t>
            </w:r>
          </w:p>
        </w:tc>
      </w:tr>
    </w:tbl>
    <w:p>
      <w:pPr>
        <w:pStyle w:val="Heading2"/>
      </w:pPr>
      <w:r>
        <w:t>Separate pictured lowercase inputs and scope</w:t>
      </w:r>
    </w:p>
    <w:p>
      <w:pPr>
        <w:spacing w:line="336" w:lineRule="auto" w:after="180"/>
      </w:pPr>
      <w:r>
        <w:rPr>
          <w:b w:val="0"/>
        </w:rPr>
        <w:t>Check shape before permission. A toy tool accepts exactly one ASCII lowercase letter followed by one ASCII digit, with no trimming.</w:t>
      </w:r>
    </w:p>
    <w:p>
      <w:pPr>
        <w:spacing w:line="336" w:lineRule="auto" w:after="180"/>
      </w:pPr>
      <w:r>
        <w:rPr>
          <w:b/>
        </w:rPr>
        <w:t>Input</w:t>
      </w:r>
      <w:r>
        <w:rPr>
          <w:b w:val="0"/>
        </w:rPr>
        <w:t>s h3, H3, h30 and "h3 ". Shape acceptance never grants access by itself.</w:t>
      </w:r>
    </w:p>
    <w:p>
      <w:pPr>
        <w:spacing w:line="336" w:lineRule="auto" w:after="180"/>
      </w:pPr>
      <w:r>
        <w:rPr>
          <w:b w:val="0"/>
        </w:rPr>
        <w:t>The main contract is uppercase [A-Z][0-9]. The picture is a separate lowercase [a-z][0-9] contract, also with no trimming. Under that pictured contract h3 passes; H3 has the wrong case; h30 has an extra character; "h3 " has a trailing space. The changed z0 passes shape but still needs trusted authorization.</w:t>
      </w:r>
    </w:p>
    <w:p>
      <w:pPr>
        <w:spacing w:line="336" w:lineRule="auto" w:after="180"/>
      </w:pPr>
      <w:r>
        <w:rPr>
          <w:b w:val="0"/>
        </w:rPr>
        <w:t>Do not apply the main uppercase rule to the picture or treat either shape result as permission to read a record.</w:t>
      </w:r>
    </w:p>
    <w:p>
      <w:pPr>
        <w:pStyle w:val="Heading2"/>
      </w:pPr>
      <w:r>
        <w:t>Picture trace and valid-z0/no-permission key</w:t>
      </w:r>
    </w:p>
    <w:p>
      <w:r>
        <w:drawing>
          <wp:inline xmlns:a="http://schemas.openxmlformats.org/drawingml/2006/main" xmlns:pic="http://schemas.openxmlformats.org/drawingml/2006/picture">
            <wp:extent cx="5486400" cy="3182112"/>
            <wp:docPr id="1" name="Picture 1" descr="Validate h3: Two characters with the required case and digit pass. → Reject wrong shapes: H3 has wrong case; h30 and the trailing-space input have wrong length. → Check authority next: An accepted identifier still needs trusted authorisation."/>
            <wp:cNvGraphicFramePr>
              <a:graphicFrameLocks noChangeAspect="1"/>
            </wp:cNvGraphicFramePr>
            <a:graphic>
              <a:graphicData uri="http://schemas.openxmlformats.org/drawingml/2006/picture">
                <pic:pic>
                  <pic:nvPicPr>
                    <pic:cNvPr id="0" name="academy-story-ai-6-18-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Validate h3</w:t>
            </w:r>
          </w:p>
        </w:tc>
        <w:tc>
          <w:tcPr>
            <w:tcW w:type="dxa" w:w="5112"/>
          </w:tcPr>
          <w:p>
            <w:r>
              <w:t>Two characters with the required case and digit pass.</w:t>
            </w:r>
          </w:p>
        </w:tc>
      </w:tr>
      <w:tr>
        <w:tc>
          <w:tcPr>
            <w:tcW w:type="dxa" w:w="5112"/>
          </w:tcPr>
          <w:p>
            <w:r>
              <w:t>2. Reject wrong shapes</w:t>
            </w:r>
          </w:p>
        </w:tc>
        <w:tc>
          <w:tcPr>
            <w:tcW w:type="dxa" w:w="5112"/>
          </w:tcPr>
          <w:p>
            <w:r>
              <w:t>H3 has wrong case; h30 and the trailing-space input have wrong length.</w:t>
            </w:r>
          </w:p>
        </w:tc>
      </w:tr>
      <w:tr>
        <w:tc>
          <w:tcPr>
            <w:tcW w:type="dxa" w:w="5112"/>
          </w:tcPr>
          <w:p>
            <w:r>
              <w:t>3. Check authority next</w:t>
            </w:r>
          </w:p>
        </w:tc>
        <w:tc>
          <w:tcPr>
            <w:tcW w:type="dxa" w:w="5112"/>
          </w:tcPr>
          <w:p>
            <w:r>
              <w:t>An accepted identifier still needs trusted authorisation.</w:t>
            </w:r>
          </w:p>
        </w:tc>
      </w:tr>
    </w:tbl>
    <w:p>
      <w:r>
        <w:t>Match each pictured step to the supplied facts. This is a worked teaching case, not an independent assessment.</w:t>
      </w:r>
    </w:p>
    <w:p>
      <w:pPr>
        <w:spacing w:line="336" w:lineRule="auto" w:after="180"/>
      </w:pPr>
      <w:r>
        <w:rPr>
          <w:b/>
        </w:rPr>
        <w:t>Input</w:t>
      </w:r>
      <w:r>
        <w:rPr>
          <w:b w:val="0"/>
        </w:rPr>
        <w:t xml:space="preserve"> shape and permission answer different questions. Silently normalising these </w:t>
      </w:r>
      <w:r>
        <w:rPr>
          <w:b/>
        </w:rPr>
        <w:t>input</w:t>
      </w:r>
      <w:r>
        <w:rPr>
          <w:b w:val="0"/>
        </w:rPr>
        <w:t>s would change the stated contract.</w:t>
      </w:r>
    </w:p>
    <w:p>
      <w:pPr>
        <w:spacing w:line="336" w:lineRule="auto" w:after="180"/>
      </w:pPr>
      <w:r>
        <w:rPr>
          <w:b w:val="0"/>
        </w:rPr>
        <w:t xml:space="preserve">Some systems normalise </w:t>
      </w:r>
      <w:r>
        <w:rPr>
          <w:b/>
        </w:rPr>
        <w:t>input</w:t>
      </w:r>
      <w:r>
        <w:rPr>
          <w:b w:val="0"/>
        </w:rPr>
        <w:t>s explicitly; this fictional contract deliberately does not.</w:t>
      </w:r>
    </w:p>
    <w:p>
      <w:pPr>
        <w:spacing w:line="336" w:lineRule="auto" w:after="180"/>
      </w:pPr>
      <w:r>
        <w:rPr>
          <w:b w:val="0"/>
        </w:rPr>
        <w:t>Change: Replace h3 with z0.</w:t>
      </w:r>
    </w:p>
    <w:p>
      <w:pPr>
        <w:spacing w:line="336" w:lineRule="auto" w:after="180"/>
      </w:pPr>
      <w:r>
        <w:rPr>
          <w:b/>
        </w:rPr>
        <w:t>Prediction</w:t>
      </w:r>
      <w:r>
        <w:rPr>
          <w:b w:val="0"/>
        </w:rPr>
        <w:t>: The shape passes; resource access is still undecided.</w:t>
      </w:r>
    </w:p>
    <w:p>
      <w:pPr>
        <w:spacing w:line="336" w:lineRule="auto" w:after="180"/>
      </w:pPr>
      <w:r>
        <w:rPr>
          <w:b w:val="0"/>
        </w:rPr>
        <w:t xml:space="preserve">Reason: Structure contains no </w:t>
      </w:r>
      <w:r>
        <w:rPr>
          <w:b/>
        </w:rPr>
        <w:t>evidence</w:t>
      </w:r>
      <w:r>
        <w:rPr>
          <w:b w:val="0"/>
        </w:rPr>
        <w:t xml:space="preserve"> of ownership or user permission.</w:t>
      </w:r>
    </w:p>
    <w:p>
      <w:pPr>
        <w:pStyle w:val="Heading2"/>
      </w:pPr>
      <w:r>
        <w:t>Reference: original format-only helper · reference / check after trying</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import re</w:t>
        <w:br/>
        <w:br/>
        <w:t>def validate_identifier(value):</w:t>
        <w:br/>
        <w:t xml:space="preserve">    return type(value) is str and re.fullmatch('[A-Z][0-9]', value) is not None</w:t>
        <w:br/>
        <w:br/>
        <w:t>print(validate_identifier("B2"))</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Untrusted input</w:t>
            </w:r>
          </w:p>
        </w:tc>
        <w:tc>
          <w:tcPr>
            <w:tcW w:type="dxa" w:w="5112"/>
          </w:tcPr>
          <w:p>
            <w:r>
              <w:t>Data whose claims or control intent have not been authorised</w:t>
            </w:r>
          </w:p>
        </w:tc>
      </w:tr>
      <w:tr>
        <w:tc>
          <w:tcPr>
            <w:tcW w:type="dxa" w:w="5112"/>
          </w:tcPr>
          <w:p>
            <w:r>
              <w:t>Full match</w:t>
            </w:r>
          </w:p>
        </w:tc>
        <w:tc>
          <w:tcPr>
            <w:tcW w:type="dxa" w:w="5112"/>
          </w:tcPr>
          <w:p>
            <w:r>
              <w:t>Validation covering the whole input</w:t>
            </w:r>
          </w:p>
        </w:tc>
      </w:tr>
      <w:tr>
        <w:tc>
          <w:tcPr>
            <w:tcW w:type="dxa" w:w="5112"/>
          </w:tcPr>
          <w:p>
            <w:r>
              <w:t>Injection boundary</w:t>
            </w:r>
          </w:p>
        </w:tc>
        <w:tc>
          <w:tcPr>
            <w:tcW w:type="dxa" w:w="5112"/>
          </w:tcPr>
          <w:p>
            <w:r>
              <w:t>A separation preventing data from becoming executable control</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Untrusted input boundaries</w:t>
      </w:r>
    </w:p>
    <w:p>
      <w:pPr>
        <w:pStyle w:val="Heading3"/>
      </w:pPr>
      <w:r>
        <w:t>The facts we will use</w:t>
      </w:r>
    </w:p>
    <w:p>
      <w:r>
        <w:drawing>
          <wp:inline xmlns:a="http://schemas.openxmlformats.org/drawingml/2006/main" xmlns:pic="http://schemas.openxmlformats.org/drawingml/2006/picture">
            <wp:extent cx="5486400" cy="5185229"/>
            <wp:docPr id="2" name="Picture 2" descr="Untrusted input boundaries. Validate h3: Two characters with the required case and digit pass.. Reject wrong shapes: H3 has wrong case; h30 and the trailing-space input have wrong length.. Check authority next: An accepted identifier still needs trusted authorisation."/>
            <wp:cNvGraphicFramePr>
              <a:graphicFrameLocks noChangeAspect="1"/>
            </wp:cNvGraphicFramePr>
            <a:graphic>
              <a:graphicData uri="http://schemas.openxmlformats.org/drawingml/2006/picture">
                <pic:pic>
                  <pic:nvPicPr>
                    <pic:cNvPr id="0" name="academy-visual-ai-6-18.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w:t>
      </w:r>
      <w:r>
        <w:rPr>
          <w:b/>
        </w:rPr>
        <w:t>Input</w:t>
      </w:r>
      <w:r>
        <w:rPr>
          <w:b w:val="0"/>
        </w:rPr>
        <w:t>s A1 and delete_all() are supplied to room lookup. Show the intermediate steps and give the conclusion with its scope.</w:t>
      </w:r>
    </w:p>
    <w:p>
      <w:pPr>
        <w:spacing w:line="336" w:lineRule="auto" w:after="180"/>
      </w:pPr>
      <w:r>
        <w:rPr>
          <w:b w:val="0"/>
        </w:rPr>
        <w:t>Teacher check: Teacher explanation: A1 passes the format; delete_all() fails. Neither is executed as code, including any instruction-shaped string.</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Untrusted input</w:t>
      </w:r>
      <w:r>
        <w:rPr>
          <w:b w:val="0"/>
        </w:rPr>
        <w:t xml:space="preserve"> boundaries.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format check does not grant resource access; authorisation follows separately.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Classify h3, H3, h30 and the trailing-space </w:t>
      </w:r>
      <w:r>
        <w:rPr>
          <w:b/>
        </w:rPr>
        <w:t>input</w:t>
      </w:r>
      <w:r>
        <w:rPr>
          <w:b w:val="0"/>
        </w:rPr>
        <w:t xml:space="preserve"> by the stated shape contract. Does a valid z0 grant record access, and which separate gate still remains?</w:t>
      </w:r>
    </w:p>
    <w:p>
      <w:pPr>
        <w:spacing w:line="336" w:lineRule="auto" w:after="180"/>
      </w:pPr>
      <w:r>
        <w:rPr>
          <w:b w:val="0"/>
        </w:rPr>
        <w:t xml:space="preserve">Two characters with the required case and digit pass. H3 has wrong case; h30 and the trailing-space </w:t>
      </w:r>
      <w:r>
        <w:rPr>
          <w:b/>
        </w:rPr>
        <w:t>input</w:t>
      </w:r>
      <w:r>
        <w:rPr>
          <w:b w:val="0"/>
        </w:rPr>
        <w:t xml:space="preserve"> have wrong length. An accepted identifier still needs trusted authorisation.</w:t>
      </w:r>
    </w:p>
    <w:p>
      <w:pPr>
        <w:spacing w:line="336" w:lineRule="auto" w:after="180"/>
      </w:pPr>
      <w:r>
        <w:rPr>
          <w:b w:val="0"/>
        </w:rPr>
        <w:t xml:space="preserve">Changed case: The shape passes; resource access is still undecided. Structure contains no </w:t>
      </w:r>
      <w:r>
        <w:rPr>
          <w:b/>
        </w:rPr>
        <w:t>evidence</w:t>
      </w:r>
      <w:r>
        <w:rPr>
          <w:b w:val="0"/>
        </w:rPr>
        <w:t xml:space="preserve"> of ownership or user permission.</w:t>
      </w:r>
    </w:p>
    <w:p>
      <w:pPr>
        <w:spacing w:line="336" w:lineRule="auto" w:after="180"/>
      </w:pPr>
      <w:r>
        <w:rPr>
          <w:b w:val="0"/>
        </w:rPr>
        <w:t xml:space="preserve">Changed-case reasoning: The shape passes; resource access is still undecided. Structure contains no </w:t>
      </w:r>
      <w:r>
        <w:rPr>
          <w:b/>
        </w:rPr>
        <w:t>evidence</w:t>
      </w:r>
      <w:r>
        <w:rPr>
          <w:b w:val="0"/>
        </w:rPr>
        <w:t xml:space="preserve"> of ownership or user permission.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A1 shape passes; exact local permission and record allow example lookup. Instruction-shaped string rejects without execution; valid B2 denies before lookup; authorized missing D4 reviews. Lowercase-picture h3/z0 shapes pass but access is separate. Selected C0 passes uppercase ASCII shape; c0 wrong case, C00 extra character, C0 with trailing space wrong whole length, None wrong type.</w:t>
      </w:r>
    </w:p>
    <w:p>
      <w:pPr>
        <w:spacing w:line="336" w:lineRule="auto" w:after="180"/>
      </w:pPr>
      <w:r>
        <w:rPr>
          <w:b w:val="0"/>
        </w:rPr>
        <w:t>Valid format alone does not grant access. Use the selected C0 key, not earlier B2 practice, and do not silently trim or normalize.</w:t>
      </w:r>
    </w:p>
    <w:p>
      <w:pPr>
        <w:pStyle w:val="Heading2"/>
      </w:pPr>
      <w:r>
        <w:t>Diagnose the current misconceptions</w:t>
      </w:r>
    </w:p>
    <w:p>
      <w:pPr>
        <w:spacing w:line="336" w:lineRule="auto" w:after="180"/>
      </w:pPr>
      <w:r>
        <w:rPr>
          <w:b w:val="0"/>
        </w:rPr>
        <w:t>The worked result establishes every future case: A format check does not grant resource access; authorisation follows separately.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w:t>
      </w:r>
      <w:r>
        <w:rPr>
          <w:b/>
        </w:rPr>
        <w:t>Input</w:t>
      </w:r>
      <w:r>
        <w:rPr>
          <w:b w:val="0"/>
        </w:rPr>
        <w:t xml:space="preserve"> format is exactly one ASCII uppercase letter followed by one digit, with no trimming. Evaluate C0, c0, C00, "C0 ", and None. Does a valid format grant access?</w:t>
      </w:r>
    </w:p>
    <w:p>
      <w:pPr>
        <w:spacing w:line="336" w:lineRule="auto" w:after="180"/>
      </w:pPr>
      <w:r>
        <w:rPr>
          <w:b w:val="0"/>
        </w:rPr>
        <w:t>Teacher explanation: C0 passes the exact string format. c0 fails uppercase case, C00 fails length, "C0 " fails because the trailing space is not trimmed, and None fails the string-type requirement. A well-formed identifier does not grant resource access; trusted authorisation must still be checked.</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Untrusted input</w:t>
      </w:r>
      <w:r>
        <w:rPr>
          <w:b w:val="0"/>
        </w:rPr>
        <w:t xml:space="preserve"> must be treated according to a contract before reaching code, queries or tools. Data that resembles instructions does not acquire execution authority. For the toy lookup accept room IDs matching one ASCII uppercase letter plus one ASCII digit, with no trimming. Perform exact dictionary lookup; never evaluate user strings as code. Reject invalid length or characters.</w:t>
      </w:r>
    </w:p>
    <w:p>
      <w:pPr>
        <w:pStyle w:val="Heading2"/>
      </w:pPr>
      <w:r>
        <w:t>W2 Trace the worked case</w:t>
      </w:r>
    </w:p>
    <w:p>
      <w:pPr>
        <w:spacing w:line="336" w:lineRule="auto" w:after="180"/>
      </w:pPr>
      <w:r>
        <w:rPr>
          <w:b/>
        </w:rPr>
        <w:t>Input</w:t>
      </w:r>
      <w:r>
        <w:rPr>
          <w:b w:val="0"/>
        </w:rPr>
        <w:t>s A1 and delete_all() are supplied to room lookup. Show the intermediate steps and give the conclusion with its scope.</w:t>
      </w:r>
    </w:p>
    <w:p>
      <w:pPr>
        <w:spacing w:line="336" w:lineRule="auto" w:after="180"/>
      </w:pPr>
      <w:r>
        <w:rPr>
          <w:b w:val="0"/>
        </w:rPr>
        <w:t>Teacher explanation: A1 passes the format; delete_all() fails. Neither is executed as code, including any instruction-shaped string.</w:t>
      </w:r>
    </w:p>
    <w:p>
      <w:pPr>
        <w:pStyle w:val="Heading2"/>
      </w:pPr>
      <w:r>
        <w:t>W3 Audit the limit</w:t>
      </w:r>
    </w:p>
    <w:p>
      <w:pPr>
        <w:spacing w:line="336" w:lineRule="auto" w:after="180"/>
      </w:pPr>
      <w:r>
        <w:rPr>
          <w:b w:val="0"/>
        </w:rPr>
        <w:t>A report omits this qualification: A format check does not grant resource access; authorisation follows separately. Explain how omitting it could change a reader's interpretation, and write an accurate replacement.</w:t>
      </w:r>
    </w:p>
    <w:p>
      <w:pPr>
        <w:spacing w:line="336" w:lineRule="auto" w:after="180"/>
      </w:pPr>
      <w:r>
        <w:rPr>
          <w:b w:val="0"/>
        </w:rPr>
        <w:t>Teacher explanation: A format check does not grant resource access; authorisation follows separately.</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 format check does not grant resource access; authorisation follows separately.</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A1 passes the format; delete_all() fails. Neither is executed as code, including any instruction-shaped string. Qualification: A format check does not grant resource access; authorisation follows separately.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Classify B2, b2, B22 and B2; DROP under the exact format.</w:t>
      </w:r>
    </w:p>
    <w:p>
      <w:pPr>
        <w:spacing w:line="336" w:lineRule="auto" w:after="180"/>
      </w:pPr>
      <w:r>
        <w:rPr>
          <w:b w:val="0"/>
        </w:rPr>
        <w:t>Teacher explanation: B2 valid; lowercase, extra digit and injected command text invalid. Validation and safe lookup both apply.</w:t>
      </w:r>
    </w:p>
    <w:p>
      <w:pPr>
        <w:pStyle w:val="Heading3"/>
      </w:pPr>
      <w:r>
        <w:t>W5 Design a revealing follow-up</w:t>
      </w:r>
    </w:p>
    <w:p>
      <w:pPr>
        <w:pStyle w:val="Heading3"/>
      </w:pPr>
      <w:r>
        <w:t>Independent assessment and fresh retry</w:t>
      </w:r>
    </w:p>
    <w:p>
      <w:pPr>
        <w:spacing w:line="336" w:lineRule="auto" w:after="180"/>
      </w:pPr>
      <w:r>
        <w:rPr>
          <w:b w:val="0"/>
        </w:rPr>
        <w:t xml:space="preserve">W4: B2 valid; lowercase, extra digit and injected command text invalid. Validation and safe lookup both apply. Require intermediate reasoning and the stated scope. Fresh retry: </w:t>
      </w:r>
      <w:r>
        <w:rPr>
          <w:b/>
        </w:rPr>
        <w:t>Input</w:t>
      </w:r>
      <w:r>
        <w:rPr>
          <w:b w:val="0"/>
        </w:rPr>
        <w:t>s Z9 and Z9 followed by a newline.</w:t>
      </w:r>
    </w:p>
    <w:p>
      <w:pPr>
        <w:spacing w:line="336" w:lineRule="auto" w:after="180"/>
      </w:pPr>
      <w:r>
        <w:rPr>
          <w:b w:val="0"/>
        </w:rPr>
        <w:t>Expected reasoning: Z9 valid; extra newline fails exact full-match policy. Do not silently trim unless specified.</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Add a labelled </w:t>
      </w:r>
      <w:r>
        <w:rPr>
          <w:b/>
        </w:rPr>
        <w:t>untrusted input</w:t>
      </w:r>
      <w:r>
        <w:rPr>
          <w:b w:val="0"/>
        </w:rPr>
        <w:t xml:space="preserve"> boundaries </w:t>
      </w:r>
      <w:r>
        <w:rPr>
          <w:b/>
        </w:rPr>
        <w:t>evidence</w:t>
      </w:r>
      <w:r>
        <w:rPr>
          <w:b w:val="0"/>
        </w:rPr>
        <w:t xml:space="preserve"> sheet to Grounded Learning Service. Show how you can explain the </w:t>
      </w:r>
      <w:r>
        <w:rPr>
          <w:b/>
        </w:rPr>
        <w:t>mechanism</w:t>
      </w:r>
      <w:r>
        <w:rPr>
          <w:b w:val="0"/>
        </w:rPr>
        <w:t xml:space="preserve"> and terminology of </w:t>
      </w:r>
      <w:r>
        <w:rPr>
          <w:b/>
        </w:rPr>
        <w:t>untrusted input</w:t>
      </w:r>
      <w:r>
        <w:rPr>
          <w:b w:val="0"/>
        </w:rPr>
        <w:t xml:space="preserve"> boundaries.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Sandboxing and resource limits.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ai-6/19, ai-6/21, ai-6/24.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w:t>
      </w:r>
      <w:r>
        <w:rPr>
          <w:b/>
        </w:rPr>
        <w:t>untrusted input</w:t>
      </w:r>
      <w:r>
        <w:rPr>
          <w:b w:val="0"/>
        </w:rPr>
        <w:t xml:space="preserve"> boundaries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w:t>
      </w:r>
      <w:r>
        <w:rPr>
          <w:b/>
        </w:rPr>
        <w:t>Input</w:t>
      </w:r>
      <w:r>
        <w:rPr>
          <w:b w:val="0"/>
        </w:rPr>
        <w:t>s A1 and delete_all() are supplied to room lookup. Show the intermediate steps and give the conclusion with its scope.</w:t>
      </w:r>
    </w:p>
    <w:p>
      <w:pPr>
        <w:spacing w:line="336" w:lineRule="auto" w:after="180"/>
      </w:pPr>
      <w:r>
        <w:rPr>
          <w:b w:val="0"/>
        </w:rPr>
        <w:t>Reasoned practice answer: Teacher explanation: A1 passes the format; delete_all() fails. Neither is executed as code, including any instruction-shaped string.</w:t>
      </w:r>
    </w:p>
    <w:p>
      <w:pPr>
        <w:spacing w:line="336" w:lineRule="auto" w:after="180"/>
      </w:pPr>
      <w:r>
        <w:rPr>
          <w:b w:val="0"/>
        </w:rPr>
        <w:t xml:space="preserve">Check every learner before discussion: Use the worked case for </w:t>
      </w:r>
      <w:r>
        <w:rPr>
          <w:b/>
        </w:rPr>
        <w:t>Untrusted input</w:t>
      </w:r>
      <w:r>
        <w:rPr>
          <w:b w:val="0"/>
        </w:rPr>
        <w:t xml:space="preserve"> boundaries.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format check does not grant resource access; authorisation follows separately.</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Replace h3 with z0. Require a </w:t>
      </w:r>
      <w:r>
        <w:rPr>
          <w:b/>
        </w:rPr>
        <w:t>prediction</w:t>
      </w:r>
      <w:r>
        <w:rPr>
          <w:b w:val="0"/>
        </w:rPr>
        <w:t xml:space="preserve"> and a reason before comparing. Expected result: The shape passes; resource access is still undecided. Reason: Structure contains no </w:t>
      </w:r>
      <w:r>
        <w:rPr>
          <w:b/>
        </w:rPr>
        <w:t>evidence</w:t>
      </w:r>
      <w:r>
        <w:rPr>
          <w:b w:val="0"/>
        </w:rPr>
        <w:t xml:space="preserve"> of ownership or user permission.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Untrusted input boundaries: the case</w:t>
      </w:r>
    </w:p>
    <w:p>
      <w:r>
        <w:drawing>
          <wp:inline xmlns:a="http://schemas.openxmlformats.org/drawingml/2006/main" xmlns:pic="http://schemas.openxmlformats.org/drawingml/2006/picture">
            <wp:extent cx="5486400" cy="2834640"/>
            <wp:docPr id="3" name="Picture 3" descr="Check shape before permission. A toy tool accepts exactly one ASCII lowercase letter followed by one ASCII digit, with no trimming. Supplied facts: Inputs h3, H3, h30 and &quot;h3 &quot;. Shape acceptance never grants access by itself."/>
            <wp:cNvGraphicFramePr>
              <a:graphicFrameLocks noChangeAspect="1"/>
            </wp:cNvGraphicFramePr>
            <a:graphic>
              <a:graphicData uri="http://schemas.openxmlformats.org/drawingml/2006/picture">
                <pic:pic>
                  <pic:nvPicPr>
                    <pic:cNvPr id="0" name="academy-story-ai-6-18-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Check shape before permission. A toy tool accepts exactly one ASCII lowercase letter followed by one ASCII digit, with no trimming. Supplied facts: </w:t>
      </w:r>
      <w:r>
        <w:rPr>
          <w:b/>
        </w:rPr>
        <w:t>Input</w:t>
      </w:r>
      <w:r>
        <w:rPr>
          <w:b w:val="0"/>
        </w:rPr>
        <w:t>s h3, H3, h30 and "h3 ". Shape acceptance never grants access by itself.</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Validate h3: Two characters with the required case and digit pass. → Reject wrong shapes: H3 has wrong case; h30 and the trailing-space input have wrong length. → Check authority next: An accepted identifier still needs trusted authorisation."/>
            <wp:cNvGraphicFramePr>
              <a:graphicFrameLocks noChangeAspect="1"/>
            </wp:cNvGraphicFramePr>
            <a:graphic>
              <a:graphicData uri="http://schemas.openxmlformats.org/drawingml/2006/picture">
                <pic:pic>
                  <pic:nvPicPr>
                    <pic:cNvPr id="0" name="academy-story-ai-6-18-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Validate h3: Two characters with the required case and digit pass. → Reject wrong shapes: H3 has wrong case; h30 and the trailing-space </w:t>
      </w:r>
      <w:r>
        <w:rPr>
          <w:b/>
        </w:rPr>
        <w:t>input</w:t>
      </w:r>
      <w:r>
        <w:rPr>
          <w:b w:val="0"/>
        </w:rPr>
        <w:t xml:space="preserve"> have wrong length. → Check authority next: An accepted identifier still needs trusted authorisation.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Untrusted input boundaries — evidence trace</w:t>
      </w:r>
    </w:p>
    <w:p>
      <w:r>
        <w:drawing>
          <wp:inline xmlns:a="http://schemas.openxmlformats.org/drawingml/2006/main" xmlns:pic="http://schemas.openxmlformats.org/drawingml/2006/picture">
            <wp:extent cx="5486400" cy="2996184"/>
            <wp:docPr id="5" name="Picture 5" descr="Untrusted input boundaries — evidence trace. Inputs A1 and delete_all() are supplied to room lookup. | For the toy lookup accept room IDs matching one ASCII uppercase letter plus one ASCII digit, with no trimming. Perform exact dictionary lookup; never evaluate user strings as code. Reject invalid length or characters. | A1 passes the format; delete_all() fails. Neither is executed as code, including any instruction-shaped string."/>
            <wp:cNvGraphicFramePr>
              <a:graphicFrameLocks noChangeAspect="1"/>
            </wp:cNvGraphicFramePr>
            <a:graphic>
              <a:graphicData uri="http://schemas.openxmlformats.org/drawingml/2006/picture">
                <pic:pic>
                  <pic:nvPicPr>
                    <pic:cNvPr id="0" name="academy-story-ai-6-18-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Untrusted input</w:t>
      </w:r>
      <w:r>
        <w:rPr>
          <w:b w:val="0"/>
        </w:rPr>
        <w:t xml:space="preserve"> boundaries — </w:t>
      </w:r>
      <w:r>
        <w:rPr>
          <w:b/>
        </w:rPr>
        <w:t>evidence</w:t>
      </w:r>
      <w:r>
        <w:rPr>
          <w:b w:val="0"/>
        </w:rPr>
        <w:t xml:space="preserve"> trace. </w:t>
      </w:r>
      <w:r>
        <w:rPr>
          <w:b/>
        </w:rPr>
        <w:t>Input</w:t>
      </w:r>
      <w:r>
        <w:rPr>
          <w:b w:val="0"/>
        </w:rPr>
        <w:t>s A1 and delete_all() are supplied to room lookup. | For the toy lookup accept room IDs matching one ASCII uppercase letter plus one ASCII digit, with no trimming. Perform exact dictionary lookup; never evaluate user strings as code. Reject invalid length or characters. | A1 passes the format; delete_all() fails. Neither is executed as code, including any instruction-shaped string.</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An accepted identifier still needs trusted authorisation. Changed condition: Replace h3 with z0. Expected result: The shape passes; resource access is still undecided. Reason: Structure contains no evidence of ownership or user permission."/>
            <wp:cNvGraphicFramePr>
              <a:graphicFrameLocks noChangeAspect="1"/>
            </wp:cNvGraphicFramePr>
            <a:graphic>
              <a:graphicData uri="http://schemas.openxmlformats.org/drawingml/2006/picture">
                <pic:pic>
                  <pic:nvPicPr>
                    <pic:cNvPr id="0" name="academy-story-ai-6-1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An accepted identifier still needs trusted authorisation. Changed condition: Replace h3 with z0. Expected result: The shape passes; resource access is still undecided.</w:t>
      </w:r>
    </w:p>
    <w:p>
      <w:pPr>
        <w:spacing w:line="336" w:lineRule="auto" w:after="180"/>
      </w:pPr>
      <w:r>
        <w:rPr>
          <w:b w:val="0"/>
        </w:rPr>
        <w:t xml:space="preserve">Reason: Structure contains no </w:t>
      </w:r>
      <w:r>
        <w:rPr>
          <w:b/>
        </w:rPr>
        <w:t>evidence</w:t>
      </w:r>
      <w:r>
        <w:rPr>
          <w:b w:val="0"/>
        </w:rPr>
        <w:t xml:space="preserve"> of ownership or user permission.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Structure contains no </w:t>
      </w:r>
      <w:r>
        <w:rPr>
          <w:b/>
        </w:rPr>
        <w:t>evidence</w:t>
      </w:r>
      <w:r>
        <w:rPr>
          <w:b w:val="0"/>
        </w:rPr>
        <w:t xml:space="preserve"> of ownership or user permission.</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Input shape and permission answer different questions. Silently normalising these inputs would change the stated contract. Limit: Some systems normalise inputs explicitly; this fictional contract deliberately does not."/>
            <wp:cNvGraphicFramePr>
              <a:graphicFrameLocks noChangeAspect="1"/>
            </wp:cNvGraphicFramePr>
            <a:graphic>
              <a:graphicData uri="http://schemas.openxmlformats.org/drawingml/2006/picture">
                <pic:pic>
                  <pic:nvPicPr>
                    <pic:cNvPr id="0" name="academy-story-ai-6-1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Input</w:t>
      </w:r>
      <w:r>
        <w:rPr>
          <w:b w:val="0"/>
        </w:rPr>
        <w:t xml:space="preserve"> shape and permission answer different questions. Silently normalising these </w:t>
      </w:r>
      <w:r>
        <w:rPr>
          <w:b/>
        </w:rPr>
        <w:t>input</w:t>
      </w:r>
      <w:r>
        <w:rPr>
          <w:b w:val="0"/>
        </w:rPr>
        <w:t xml:space="preserve">s would change the stated contract. Limit: Some systems normalise </w:t>
      </w:r>
      <w:r>
        <w:rPr>
          <w:b/>
        </w:rPr>
        <w:t>input</w:t>
      </w:r>
      <w:r>
        <w:rPr>
          <w:b w:val="0"/>
        </w:rPr>
        <w:t>s explicitly; this fictional contract deliberately does not.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Some systems normalise </w:t>
      </w:r>
      <w:r>
        <w:rPr>
          <w:b/>
        </w:rPr>
        <w:t>input</w:t>
      </w:r>
      <w:r>
        <w:rPr>
          <w:b w:val="0"/>
        </w:rPr>
        <w:t>s explicitly; this fictional contract deliberately does not.</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Classify h3, H3, h30 and the trailing-space input by the stated shape contract. Does a valid z0 grant record access, and which separate gate still remains?"/>
            <wp:cNvGraphicFramePr>
              <a:graphicFrameLocks noChangeAspect="1"/>
            </wp:cNvGraphicFramePr>
            <a:graphic>
              <a:graphicData uri="http://schemas.openxmlformats.org/drawingml/2006/picture">
                <pic:pic>
                  <pic:nvPicPr>
                    <pic:cNvPr id="0" name="academy-story-ai-6-18-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Classify h3, H3, h30 and the trailing-space </w:t>
      </w:r>
      <w:r>
        <w:rPr>
          <w:b/>
        </w:rPr>
        <w:t>input</w:t>
      </w:r>
      <w:r>
        <w:rPr>
          <w:b w:val="0"/>
        </w:rPr>
        <w:t xml:space="preserve"> by the stated shape contract. Does a valid z0 grant record access, and which separate gate still remains?</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Two characters with the required case and digit pass. H3 has wrong case; h30 and the trailing-space </w:t>
      </w:r>
      <w:r>
        <w:rPr>
          <w:b/>
        </w:rPr>
        <w:t>input</w:t>
      </w:r>
      <w:r>
        <w:rPr>
          <w:b w:val="0"/>
        </w:rPr>
        <w:t xml:space="preserve"> have wrong length. An accepted identifier still needs trusted authorisation.</w:t>
      </w:r>
    </w:p>
    <w:p>
      <w:pPr>
        <w:spacing w:line="336" w:lineRule="auto" w:after="180"/>
      </w:pPr>
      <w:r>
        <w:rPr>
          <w:b w:val="0"/>
        </w:rPr>
        <w:t xml:space="preserve">Changed case: The shape passes; resource access is still undecided. Structure contains no </w:t>
      </w:r>
      <w:r>
        <w:rPr>
          <w:b/>
        </w:rPr>
        <w:t>evidence</w:t>
      </w:r>
      <w:r>
        <w:rPr>
          <w:b w:val="0"/>
        </w:rPr>
        <w:t xml:space="preserve"> of ownership or user permission.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Untrusted input boundaries: the case</w:t>
      </w:r>
    </w:p>
    <w:p>
      <w:pPr>
        <w:pStyle w:val="Heading3"/>
      </w:pPr>
      <w:r>
        <w:t>02. Follow the deciding steps</w:t>
      </w:r>
    </w:p>
    <w:p>
      <w:pPr>
        <w:pStyle w:val="Heading3"/>
      </w:pPr>
      <w:r>
        <w:t>03. Untrusted input boundaries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