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ai-7/6</w:t>
      </w:r>
    </w:p>
    <w:p>
      <w:pPr>
        <w:pStyle w:val="Title"/>
      </w:pPr>
      <w:r>
        <w:t>A literature comparison matrix</w:t>
      </w:r>
    </w:p>
    <w:p>
      <w:r>
        <w:t>Project: Reproducible AI Research Study</w:t>
      </w:r>
    </w:p>
    <w:p>
      <w:pPr>
        <w:pStyle w:val="Heading1"/>
      </w:pPr>
      <w:r>
        <w:t>Ask which fields align, differ or remain unknown.</w:t>
      </w:r>
    </w:p>
    <w:p>
      <w:r>
        <w:t>Teach evidence organization without silently treating missing information as agreement.</w:t>
      </w:r>
    </w:p>
    <w:p>
      <w:r>
        <w:t>Model task/metric mismatch → preserve raw denominator gaps → compare equal-rate conditions → assess recall/precision mismatch → specify common evaluation.</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a literature comparison matrix</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Replication and reproduction.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replication and reproduction</w:t>
      </w:r>
    </w:p>
    <w:p>
      <w:pPr>
        <w:spacing w:line="336" w:lineRule="auto" w:after="180"/>
      </w:pPr>
      <w:r>
        <w:rPr>
          <w:b w:val="0"/>
        </w:rPr>
        <w:t xml:space="preserve">Reference example, not the only acceptable wording: Teacher explanation: Reproducing a computation uses recorded artifacts; replication collects new </w:t>
      </w:r>
      <w:r>
        <w:rPr>
          <w:b/>
        </w:rPr>
        <w:t>evidence</w:t>
      </w:r>
      <w:r>
        <w:rPr>
          <w:b w:val="0"/>
        </w:rPr>
        <w:t xml:space="preserve"> under a comparable question.</w:t>
      </w:r>
    </w:p>
    <w:p>
      <w:pPr>
        <w:spacing w:line="336" w:lineRule="auto" w:after="180"/>
      </w:pPr>
      <w:r>
        <w:rPr>
          <w:b w:val="0"/>
        </w:rPr>
        <w:t>Naming conventions vary, so define the terms in the project. Here replay means same artifacts/procedure; new-data replication means newly collected eligible cases under the same plan.</w:t>
      </w:r>
    </w:p>
    <w:p>
      <w:pPr>
        <w:spacing w:line="336" w:lineRule="auto" w:after="180"/>
      </w:pPr>
      <w:r>
        <w:rPr>
          <w:b w:val="0"/>
        </w:rPr>
        <w:t>Preserve environment, data versions and raw results.</w:t>
      </w:r>
    </w:p>
    <w:p>
      <w:pPr>
        <w:spacing w:line="336" w:lineRule="auto" w:after="180"/>
      </w:pPr>
      <w:r>
        <w:rPr>
          <w:b w:val="0"/>
        </w:rPr>
        <w:t>Without opening the old lesson, explain one key idea from Finding primary research.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finding primary research</w:t>
      </w:r>
    </w:p>
    <w:p>
      <w:pPr>
        <w:spacing w:line="336" w:lineRule="auto" w:after="180"/>
      </w:pPr>
      <w:r>
        <w:rPr>
          <w:b w:val="0"/>
        </w:rPr>
        <w:t xml:space="preserve">Reference example, not the only acceptable wording: Teacher explanation: Primary research presents a study's own methods and results. A summary can help discovery but should not replace inspection of the original </w:t>
      </w:r>
      <w:r>
        <w:rPr>
          <w:b/>
        </w:rPr>
        <w:t>evidence</w:t>
      </w:r>
      <w:r>
        <w:rPr>
          <w:b w:val="0"/>
        </w:rPr>
        <w:t>.</w:t>
      </w:r>
    </w:p>
    <w:p>
      <w:pPr>
        <w:spacing w:line="336" w:lineRule="auto" w:after="180"/>
      </w:pPr>
      <w:r>
        <w:rPr>
          <w:b w:val="0"/>
        </w:rPr>
        <w:t>Record title, authors, version, date, identifier and access location. Distinguish paper, code, data and commentary. Verify that a quoted claim belongs to the cited version.</w:t>
      </w:r>
    </w:p>
    <w:p>
      <w:pPr>
        <w:pStyle w:val="Heading2"/>
      </w:pPr>
      <w:r>
        <w:t>Pictured end goal</w:t>
      </w:r>
    </w:p>
    <w:p>
      <w:pPr>
        <w:spacing w:line="336" w:lineRule="auto" w:after="180"/>
      </w:pPr>
      <w:r>
        <w:rPr>
          <w:b w:val="0"/>
        </w:rPr>
        <w:t>Explain a literature comparison matrix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Replication and reproduction</w:t>
      </w:r>
    </w:p>
    <w:p>
      <w:pPr>
        <w:pStyle w:val="Heading3"/>
      </w:pPr>
      <w:r>
        <w:t>Finding primary research</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A </w:t>
      </w:r>
      <w:r>
        <w:rPr>
          <w:b/>
        </w:rPr>
        <w:t>literature matrix</w:t>
      </w:r>
      <w:r>
        <w:rPr>
          <w:b w:val="0"/>
        </w:rPr>
        <w:t xml:space="preserve"> compares studies using aligned columns rather than sorting headline numbers with different meanings. Use the supplied constructed scenarios to make the </w:t>
      </w:r>
      <w:r>
        <w:rPr>
          <w:b/>
        </w:rPr>
        <w:t>mechanism</w:t>
      </w:r>
      <w:r>
        <w:rPr>
          <w:b w:val="0"/>
        </w:rPr>
        <w:t xml:space="preserve"> inspectable.</w:t>
      </w:r>
    </w:p>
    <w:p>
      <w:pPr>
        <w:spacing w:line="336" w:lineRule="auto" w:after="180"/>
      </w:pPr>
      <w:r>
        <w:rPr>
          <w:b w:val="0"/>
        </w:rPr>
        <w:t xml:space="preserve">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a literature comparison matrix</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matrix fields as evidence for comparability judgments</w:t>
      </w:r>
    </w:p>
    <w:p>
      <w:r>
        <w:t>Keep known differences, missing values and numeric results distinct.</w:t>
      </w:r>
    </w:p>
    <w:p>
      <w:pPr>
        <w:pStyle w:val="Heading2"/>
      </w:pPr>
      <w:r>
        <w:t>Definitions and complete fictional matrix contract</w:t>
      </w:r>
    </w:p>
    <w:p>
      <w:pPr>
        <w:spacing w:line="336" w:lineRule="auto" w:after="180"/>
      </w:pPr>
      <w:r>
        <w:rPr>
          <w:b w:val="0"/>
        </w:rPr>
        <w:t xml:space="preserve">A </w:t>
      </w:r>
      <w:r>
        <w:rPr>
          <w:b/>
        </w:rPr>
        <w:t>literature matrix</w:t>
      </w:r>
      <w:r>
        <w:rPr>
          <w:b w:val="0"/>
        </w:rPr>
        <w:t xml:space="preserve"> compares studies using aligned columns rather than sorting headline numbers with different meanings.</w:t>
      </w:r>
    </w:p>
    <w:p>
      <w:pPr>
        <w:spacing w:line="336" w:lineRule="auto" w:after="180"/>
      </w:pPr>
      <w:r>
        <w:rPr>
          <w:b w:val="0"/>
        </w:rPr>
        <w:t>Record question, data, unit, baseline, metric, split, resources and limitations. Mark incomparable fields rather than forcing a ranking.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Matrix rule</w:t>
            </w:r>
          </w:p>
        </w:tc>
        <w:tc>
          <w:tcPr>
            <w:tcW w:type="dxa" w:w="5112"/>
          </w:tcPr>
          <w:p>
            <w:r>
              <w:t>Complete fictional comparison protocol</w:t>
            </w:r>
          </w:p>
        </w:tc>
      </w:tr>
      <w:tr>
        <w:tc>
          <w:tcPr>
            <w:tcW w:type="dxa" w:w="5112"/>
          </w:tcPr>
          <w:p>
            <w:r>
              <w:t>Study identity</w:t>
            </w:r>
          </w:p>
        </w:tc>
        <w:tc>
          <w:tcPr>
            <w:tcW w:type="dxa" w:w="5112"/>
          </w:tcPr>
          <w:p>
            <w:r>
              <w:t>Keep exact source/version/locator when known; supplied examples have no real citation</w:t>
            </w:r>
          </w:p>
        </w:tc>
      </w:tr>
      <w:tr>
        <w:tc>
          <w:tcPr>
            <w:tcW w:type="dxa" w:w="5112"/>
          </w:tcPr>
          <w:p>
            <w:r>
              <w:t>Question and task</w:t>
            </w:r>
          </w:p>
        </w:tc>
        <w:tc>
          <w:tcPr>
            <w:tcW w:type="dxa" w:w="5112"/>
          </w:tcPr>
          <w:p>
            <w:r>
              <w:t>Name what each study evaluates before comparing outcomes</w:t>
            </w:r>
          </w:p>
        </w:tc>
      </w:tr>
      <w:tr>
        <w:tc>
          <w:tcPr>
            <w:tcW w:type="dxa" w:w="5112"/>
          </w:tcPr>
          <w:p>
            <w:r>
              <w:t>Cases and unit</w:t>
            </w:r>
          </w:p>
        </w:tc>
        <w:tc>
          <w:tcPr>
            <w:tcW w:type="dxa" w:w="5112"/>
          </w:tcPr>
          <w:p>
            <w:r>
              <w:t>Record dataset/population, sample denominator and experimental unit; mark absent details not reported</w:t>
            </w:r>
          </w:p>
        </w:tc>
      </w:tr>
      <w:tr>
        <w:tc>
          <w:tcPr>
            <w:tcW w:type="dxa" w:w="5112"/>
          </w:tcPr>
          <w:p>
            <w:r>
              <w:t>Baseline and metric</w:t>
            </w:r>
          </w:p>
        </w:tc>
        <w:tc>
          <w:tcPr>
            <w:tcW w:type="dxa" w:w="5112"/>
          </w:tcPr>
          <w:p>
            <w:r>
              <w:t>Keep reference method, outcome definition, cutoff and aggregation rule</w:t>
            </w:r>
          </w:p>
        </w:tc>
      </w:tr>
      <w:tr>
        <w:tc>
          <w:tcPr>
            <w:tcW w:type="dxa" w:w="5112"/>
          </w:tcPr>
          <w:p>
            <w:r>
              <w:t>Split and resources</w:t>
            </w:r>
          </w:p>
        </w:tc>
        <w:tc>
          <w:tcPr>
            <w:tcW w:type="dxa" w:w="5112"/>
          </w:tcPr>
          <w:p>
            <w:r>
              <w:t>Record training/evaluation separation, environment and resource measurements if supplied</w:t>
            </w:r>
          </w:p>
        </w:tc>
      </w:tr>
      <w:tr>
        <w:tc>
          <w:tcPr>
            <w:tcW w:type="dxa" w:w="5112"/>
          </w:tcPr>
          <w:p>
            <w:r>
              <w:t>Limitations</w:t>
            </w:r>
          </w:p>
        </w:tc>
        <w:tc>
          <w:tcPr>
            <w:tcW w:type="dxa" w:w="5112"/>
          </w:tcPr>
          <w:p>
            <w:r>
              <w:t>State known task/condition gaps and unknown methods</w:t>
            </w:r>
          </w:p>
        </w:tc>
      </w:tr>
      <w:tr>
        <w:tc>
          <w:tcPr>
            <w:tcW w:type="dxa" w:w="5112"/>
          </w:tcPr>
          <w:p>
            <w:r>
              <w:t>Comparison judgment</w:t>
            </w:r>
          </w:p>
        </w:tc>
        <w:tc>
          <w:tcPr>
            <w:tcW w:type="dxa" w:w="5112"/>
          </w:tcPr>
          <w:p>
            <w:r>
              <w:t>Aligned for a stated purpose / different known fields / insufficiently reported; no automatic rank</w:t>
            </w:r>
          </w:p>
        </w:tc>
      </w:tr>
      <w:tr>
        <w:tc>
          <w:tcPr>
            <w:tcW w:type="dxa" w:w="5112"/>
          </w:tcPr>
          <w:p>
            <w:r>
              <w:t>No invented counts</w:t>
            </w:r>
          </w:p>
        </w:tc>
        <w:tc>
          <w:tcPr>
            <w:tcW w:type="dxa" w:w="5112"/>
          </w:tcPr>
          <w:p>
            <w:r>
              <w:t>A percentage alone does not supply its raw numerator or denominator</w:t>
            </w:r>
          </w:p>
        </w:tc>
      </w:tr>
      <w:tr>
        <w:tc>
          <w:tcPr>
            <w:tcW w:type="dxa" w:w="5112"/>
          </w:tcPr>
          <w:p>
            <w:r>
              <w:t>Scope</w:t>
            </w:r>
          </w:p>
        </w:tc>
        <w:tc>
          <w:tcPr>
            <w:tcW w:type="dxa" w:w="5112"/>
          </w:tcPr>
          <w:p>
            <w:r>
              <w:t>Fictional matrix practice, not real literature synthesis, pooled meta-analysis or tool recommendation</w:t>
            </w:r>
          </w:p>
        </w:tc>
      </w:tr>
    </w:tbl>
    <w:p>
      <w:pPr>
        <w:pStyle w:val="Heading2"/>
      </w:pPr>
      <w:r>
        <w:t>Main filled matrix and checked reasoning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matrix field</w:t>
            </w:r>
          </w:p>
        </w:tc>
        <w:tc>
          <w:tcPr>
            <w:tcW w:type="dxa" w:w="3408"/>
          </w:tcPr>
          <w:p>
            <w:r>
              <w:t>Study A supplied record</w:t>
            </w:r>
          </w:p>
        </w:tc>
        <w:tc>
          <w:tcPr>
            <w:tcW w:type="dxa" w:w="3408"/>
          </w:tcPr>
          <w:p>
            <w:r>
              <w:t>Study B supplied record</w:t>
            </w:r>
          </w:p>
        </w:tc>
      </w:tr>
      <w:tr>
        <w:tc>
          <w:tcPr>
            <w:tcW w:type="dxa" w:w="3408"/>
          </w:tcPr>
          <w:p>
            <w:r>
              <w:t>Task</w:t>
            </w:r>
          </w:p>
        </w:tc>
        <w:tc>
          <w:tcPr>
            <w:tcW w:type="dxa" w:w="3408"/>
          </w:tcPr>
          <w:p>
            <w:r>
              <w:t>Classification, described as easy</w:t>
            </w:r>
          </w:p>
        </w:tc>
        <w:tc>
          <w:tcPr>
            <w:tcW w:type="dxa" w:w="3408"/>
          </w:tcPr>
          <w:p>
            <w:r>
              <w:t>Generated answers, described as difficult</w:t>
            </w:r>
          </w:p>
        </w:tc>
      </w:tr>
      <w:tr>
        <w:tc>
          <w:tcPr>
            <w:tcW w:type="dxa" w:w="3408"/>
          </w:tcPr>
          <w:p>
            <w:r>
              <w:t>Reported metric/result</w:t>
            </w:r>
          </w:p>
        </w:tc>
        <w:tc>
          <w:tcPr>
            <w:tcW w:type="dxa" w:w="3408"/>
          </w:tcPr>
          <w:p>
            <w:r>
              <w:t>Accuracy90%</w:t>
            </w:r>
          </w:p>
        </w:tc>
        <w:tc>
          <w:tcPr>
            <w:tcW w:type="dxa" w:w="3408"/>
          </w:tcPr>
          <w:p>
            <w:r>
              <w:t>Claim support 80%</w:t>
            </w:r>
          </w:p>
        </w:tc>
      </w:tr>
      <w:tr>
        <w:tc>
          <w:tcPr>
            <w:tcW w:type="dxa" w:w="3408"/>
          </w:tcPr>
          <w:p>
            <w:r>
              <w:t>Dataset/corpus and version</w:t>
            </w:r>
          </w:p>
        </w:tc>
        <w:tc>
          <w:tcPr>
            <w:tcW w:type="dxa" w:w="3408"/>
          </w:tcPr>
          <w:p>
            <w:r>
              <w:t>Not reported</w:t>
            </w:r>
          </w:p>
        </w:tc>
        <w:tc>
          <w:tcPr>
            <w:tcW w:type="dxa" w:w="3408"/>
          </w:tcPr>
          <w:p>
            <w:r>
              <w:t>Not reported</w:t>
            </w:r>
          </w:p>
        </w:tc>
      </w:tr>
      <w:tr>
        <w:tc>
          <w:tcPr>
            <w:tcW w:type="dxa" w:w="3408"/>
          </w:tcPr>
          <w:p>
            <w:r>
              <w:t>Evaluation unit</w:t>
            </w:r>
          </w:p>
        </w:tc>
        <w:tc>
          <w:tcPr>
            <w:tcW w:type="dxa" w:w="3408"/>
          </w:tcPr>
          <w:p>
            <w:r>
              <w:t>Classification cases implied; exact definition not reported</w:t>
            </w:r>
          </w:p>
        </w:tc>
        <w:tc>
          <w:tcPr>
            <w:tcW w:type="dxa" w:w="3408"/>
          </w:tcPr>
          <w:p>
            <w:r>
              <w:t>Claim versus whole-answer aggregation not reported</w:t>
            </w:r>
          </w:p>
        </w:tc>
      </w:tr>
      <w:tr>
        <w:tc>
          <w:tcPr>
            <w:tcW w:type="dxa" w:w="3408"/>
          </w:tcPr>
          <w:p>
            <w:r>
              <w:t>Raw count/denominator</w:t>
            </w:r>
          </w:p>
        </w:tc>
        <w:tc>
          <w:tcPr>
            <w:tcW w:type="dxa" w:w="3408"/>
          </w:tcPr>
          <w:p>
            <w:r>
              <w:t>Not reported; do not invent 9/10</w:t>
            </w:r>
          </w:p>
        </w:tc>
        <w:tc>
          <w:tcPr>
            <w:tcW w:type="dxa" w:w="3408"/>
          </w:tcPr>
          <w:p>
            <w:r>
              <w:t>Not reported; do not invent 8/10</w:t>
            </w:r>
          </w:p>
        </w:tc>
      </w:tr>
      <w:tr>
        <w:tc>
          <w:tcPr>
            <w:tcW w:type="dxa" w:w="3408"/>
          </w:tcPr>
          <w:p>
            <w:r>
              <w:t>Baseline/model version</w:t>
            </w:r>
          </w:p>
        </w:tc>
        <w:tc>
          <w:tcPr>
            <w:tcW w:type="dxa" w:w="3408"/>
          </w:tcPr>
          <w:p>
            <w:r>
              <w:t>Not reported</w:t>
            </w:r>
          </w:p>
        </w:tc>
        <w:tc>
          <w:tcPr>
            <w:tcW w:type="dxa" w:w="3408"/>
          </w:tcPr>
          <w:p>
            <w:r>
              <w:t>Not reported</w:t>
            </w:r>
          </w:p>
        </w:tc>
      </w:tr>
      <w:tr>
        <w:tc>
          <w:tcPr>
            <w:tcW w:type="dxa" w:w="3408"/>
          </w:tcPr>
          <w:p>
            <w:r>
              <w:t>Split and resource conditions</w:t>
            </w:r>
          </w:p>
        </w:tc>
        <w:tc>
          <w:tcPr>
            <w:tcW w:type="dxa" w:w="3408"/>
          </w:tcPr>
          <w:p>
            <w:r>
              <w:t>Not reported</w:t>
            </w:r>
          </w:p>
        </w:tc>
        <w:tc>
          <w:tcPr>
            <w:tcW w:type="dxa" w:w="3408"/>
          </w:tcPr>
          <w:p>
            <w:r>
              <w:t>Not reported</w:t>
            </w:r>
          </w:p>
        </w:tc>
      </w:tr>
      <w:tr>
        <w:tc>
          <w:tcPr>
            <w:tcW w:type="dxa" w:w="3408"/>
          </w:tcPr>
          <w:p>
            <w:r>
              <w:t>Known comparison gap</w:t>
            </w:r>
          </w:p>
        </w:tc>
        <w:tc>
          <w:tcPr>
            <w:tcW w:type="dxa" w:w="3408"/>
          </w:tcPr>
          <w:p>
            <w:r>
              <w:t>Different task/outcome from B</w:t>
            </w:r>
          </w:p>
        </w:tc>
        <w:tc>
          <w:tcPr>
            <w:tcW w:type="dxa" w:w="3408"/>
          </w:tcPr>
          <w:p>
            <w:r>
              <w:t>Different task/outcome from A</w:t>
            </w:r>
          </w:p>
        </w:tc>
      </w:tr>
      <w:tr>
        <w:tc>
          <w:tcPr>
            <w:tcW w:type="dxa" w:w="3408"/>
          </w:tcPr>
          <w:p>
            <w:r>
              <w:t>Valid conclusion</w:t>
            </w:r>
          </w:p>
        </w:tc>
        <w:tc>
          <w:tcPr>
            <w:tcW w:type="dxa" w:w="3408"/>
          </w:tcPr>
          <w:p>
            <w:r>
              <w:t>A’s headline percentage is numerically higher</w:t>
            </w:r>
          </w:p>
        </w:tc>
        <w:tc>
          <w:tcPr>
            <w:tcW w:type="dxa" w:w="3408"/>
          </w:tcPr>
          <w:p>
            <w:r>
              <w:t>No direct cross-task superiority follows</w:t>
            </w:r>
          </w:p>
        </w:tc>
      </w:tr>
    </w:tbl>
    <w:p>
      <w:pPr>
        <w:spacing w:line="336" w:lineRule="auto" w:after="180"/>
      </w:pPr>
      <w:r>
        <w:rPr>
          <w:b w:val="0"/>
        </w:rPr>
        <w:t>Main classification accuracy 90% and generated-answer claim support 80% differ in task/metric; denominators, versions, baseline, split and resources not reported. Do not invent 9/10 or8/10. Picture S1 indoor 8/10 and S2 outdoor 16/20 both 80%, but neither same-photo controlled comparison nor equivalence follows. Removing condition hides known context. Two unknown fields are not confirmed matches.</w:t>
      </w:r>
    </w:p>
    <w:p>
      <w:pPr>
        <w:spacing w:line="336" w:lineRule="auto" w:after="180"/>
      </w:pPr>
      <w:r>
        <w:rPr>
          <w:b w:val="0"/>
        </w:rPr>
        <w:t>Selected recall@5 .8 versus precision@3 .9 on another corpus cannot be directly ranked: metric, cutoff and corpus differ. Retain aggregation details as unknown rather than inventing per-query counts; align intended task and judged data before a meaningful comparison.</w:t>
      </w:r>
    </w:p>
    <w:p>
      <w:pPr>
        <w:pStyle w:val="Heading3"/>
      </w:pPr>
      <w:r>
        <w:t>A literature comparison matrix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Study A reports accuracy 90% on easy classification; B reports claim support 80% on difficult generated answers.</w:t>
            </w:r>
          </w:p>
        </w:tc>
        <w:tc>
          <w:tcPr>
            <w:tcW w:type="dxa" w:w="3408"/>
          </w:tcPr>
          <w:p>
            <w:r>
              <w:t>Record question, data, unit, baseline, metric, split, resources and limitations. Mark incomparable fields rather than forcing a ranking.</w:t>
            </w:r>
          </w:p>
        </w:tc>
        <w:tc>
          <w:tcPr>
            <w:tcW w:type="dxa" w:w="3408"/>
          </w:tcPr>
          <w:p>
            <w:r>
              <w:t>Different tasks and metrics cannot establish A superior to B. Keep separate columns and identify a common evaluation needed.</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Guided: Different tasks and metrics cannot establish A superior to B. Keep separate columns and identify a common evaluation needed.</w:t>
      </w:r>
    </w:p>
    <w:p>
      <w:pPr>
        <w:spacing w:line="336" w:lineRule="auto" w:after="180"/>
      </w:pPr>
      <w:r>
        <w:rPr>
          <w:b w:val="0"/>
        </w:rPr>
        <w:t xml:space="preserve">Qualification: A matrix documents comparison limits; it does not create missing common </w:t>
      </w:r>
      <w:r>
        <w:rPr>
          <w:b/>
        </w:rPr>
        <w:t>evidence</w:t>
      </w:r>
      <w:r>
        <w:rPr>
          <w:b w:val="0"/>
        </w:rPr>
        <w: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 xml:space="preserve">Study A reports accuracy 90% on easy classification; B reports claim support </w:t>
      </w:r>
      <w:r>
        <w:rPr>
          <w:b/>
        </w:rPr>
        <w:t>80%</w:t>
      </w:r>
      <w:r>
        <w:rPr>
          <w:b w:val="0"/>
        </w:rPr>
        <w:t xml:space="preserve"> on difficult generated answers.</w:t>
      </w:r>
    </w:p>
    <w:p>
      <w:pPr>
        <w:spacing w:line="336" w:lineRule="auto" w:after="180"/>
      </w:pPr>
      <w:r>
        <w:rPr>
          <w:b w:val="0"/>
        </w:rPr>
        <w:t>Different tasks and metrics cannot establish A superior to B. Keep separate columns and identify a common evaluation needed.</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Missing-field, equivalence and pooling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Literature-matrix probe</w:t>
            </w:r>
          </w:p>
        </w:tc>
        <w:tc>
          <w:tcPr>
            <w:tcW w:type="dxa" w:w="5112"/>
          </w:tcPr>
          <w:p>
            <w:r>
              <w:t>Expected interpretation</w:t>
            </w:r>
          </w:p>
        </w:tc>
      </w:tr>
      <w:tr>
        <w:tc>
          <w:tcPr>
            <w:tcW w:type="dxa" w:w="5112"/>
          </w:tcPr>
          <w:p>
            <w:r>
              <w:t>90% and 80% use different tasks/metrics</w:t>
            </w:r>
          </w:p>
        </w:tc>
        <w:tc>
          <w:tcPr>
            <w:tcW w:type="dxa" w:w="5112"/>
          </w:tcPr>
          <w:p>
            <w:r>
              <w:t>Do not rank tools by the scalar numbers alone</w:t>
            </w:r>
          </w:p>
        </w:tc>
      </w:tr>
      <w:tr>
        <w:tc>
          <w:tcPr>
            <w:tcW w:type="dxa" w:w="5112"/>
          </w:tcPr>
          <w:p>
            <w:r>
              <w:t>Same80% on different samples</w:t>
            </w:r>
          </w:p>
        </w:tc>
        <w:tc>
          <w:tcPr>
            <w:tcW w:type="dxa" w:w="5112"/>
          </w:tcPr>
          <w:p>
            <w:r>
              <w:t>Equal observed rates, not established equivalence</w:t>
            </w:r>
          </w:p>
        </w:tc>
      </w:tr>
      <w:tr>
        <w:tc>
          <w:tcPr>
            <w:tcW w:type="dxa" w:w="5112"/>
          </w:tcPr>
          <w:p>
            <w:r>
              <w:t>Denominator absent</w:t>
            </w:r>
          </w:p>
        </w:tc>
        <w:tc>
          <w:tcPr>
            <w:tcW w:type="dxa" w:w="5112"/>
          </w:tcPr>
          <w:p>
            <w:r>
              <w:t>Mark not reported; no reconstructed raw count</w:t>
            </w:r>
          </w:p>
        </w:tc>
      </w:tr>
      <w:tr>
        <w:tc>
          <w:tcPr>
            <w:tcW w:type="dxa" w:w="5112"/>
          </w:tcPr>
          <w:p>
            <w:r>
              <w:t>Indoor/outdoor field removed</w:t>
            </w:r>
          </w:p>
        </w:tc>
        <w:tc>
          <w:tcPr>
            <w:tcW w:type="dxa" w:w="5112"/>
          </w:tcPr>
          <w:p>
            <w:r>
              <w:t>Important known condition hidden</w:t>
            </w:r>
          </w:p>
        </w:tc>
      </w:tr>
      <w:tr>
        <w:tc>
          <w:tcPr>
            <w:tcW w:type="dxa" w:w="5112"/>
          </w:tcPr>
          <w:p>
            <w:r>
              <w:t>Both sources omit a field</w:t>
            </w:r>
          </w:p>
        </w:tc>
        <w:tc>
          <w:tcPr>
            <w:tcW w:type="dxa" w:w="5112"/>
          </w:tcPr>
          <w:p>
            <w:r>
              <w:t>Unknown agreement, not proven matching conditions</w:t>
            </w:r>
          </w:p>
        </w:tc>
      </w:tr>
      <w:tr>
        <w:tc>
          <w:tcPr>
            <w:tcW w:type="dxa" w:w="5112"/>
          </w:tcPr>
          <w:p>
            <w:r>
              <w:t>Different metric/cutoff/corpus</w:t>
            </w:r>
          </w:p>
        </w:tc>
        <w:tc>
          <w:tcPr>
            <w:tcW w:type="dxa" w:w="5112"/>
          </w:tcPr>
          <w:p>
            <w:r>
              <w:t>No direct score ranking; align the intended comparison first</w:t>
            </w:r>
          </w:p>
        </w:tc>
      </w:tr>
      <w:tr>
        <w:tc>
          <w:tcPr>
            <w:tcW w:type="dxa" w:w="5112"/>
          </w:tcPr>
          <w:p>
            <w:r>
              <w:t>One study has more cases</w:t>
            </w:r>
          </w:p>
        </w:tc>
        <w:tc>
          <w:tcPr>
            <w:tcW w:type="dxa" w:w="5112"/>
          </w:tcPr>
          <w:p>
            <w:r>
              <w:t>More reported cases alone does not solve task or quality mismatch</w:t>
            </w:r>
          </w:p>
        </w:tc>
      </w:tr>
      <w:tr>
        <w:tc>
          <w:tcPr>
            <w:tcW w:type="dxa" w:w="5112"/>
          </w:tcPr>
          <w:p>
            <w:r>
              <w:t>Average incompatible percentages</w:t>
            </w:r>
          </w:p>
        </w:tc>
        <w:tc>
          <w:tcPr>
            <w:tcW w:type="dxa" w:w="5112"/>
          </w:tcPr>
          <w:p>
            <w:r>
              <w:t>No meaningful pooled result without a justified common estimand/protocol</w:t>
            </w:r>
          </w:p>
        </w:tc>
      </w:tr>
      <w:tr>
        <w:tc>
          <w:tcPr>
            <w:tcW w:type="dxa" w:w="5112"/>
          </w:tcPr>
          <w:p>
            <w:r>
              <w:t>Matrix completed</w:t>
            </w:r>
          </w:p>
        </w:tc>
        <w:tc>
          <w:tcPr>
            <w:tcW w:type="dxa" w:w="5112"/>
          </w:tcPr>
          <w:p>
            <w:r>
              <w:t>Evidence organization, not new experiment or causal synthesis</w:t>
            </w:r>
          </w:p>
        </w:tc>
      </w:tr>
    </w:tbl>
    <w:p>
      <w:pPr>
        <w:pStyle w:val="Heading2"/>
      </w:pPr>
      <w:r>
        <w:t>Separate indoor/outdoor comparison and intact denominators</w:t>
      </w:r>
    </w:p>
    <w:p>
      <w:pPr>
        <w:spacing w:line="336" w:lineRule="auto" w:after="180"/>
      </w:pPr>
      <w:r>
        <w:rPr>
          <w:b w:val="0"/>
        </w:rPr>
        <w:t xml:space="preserve">A </w:t>
      </w:r>
      <w:r>
        <w:rPr>
          <w:b/>
        </w:rPr>
        <w:t>literature matrix</w:t>
      </w:r>
      <w:r>
        <w:rPr>
          <w:b w:val="0"/>
        </w:rPr>
        <w:t xml:space="preserve"> that preserves differences. Two fictional studies evaluate related tools under different conditions.</w:t>
      </w:r>
    </w:p>
    <w:p>
      <w:pPr>
        <w:spacing w:line="336" w:lineRule="auto" w:after="180"/>
      </w:pPr>
      <w:r>
        <w:rPr>
          <w:b w:val="0"/>
        </w:rPr>
        <w:t xml:space="preserve">Study S1: 8/10 correct on indoor photos. S2: 16/20 on outdoor photos. Both report </w:t>
      </w:r>
      <w:r>
        <w:rPr>
          <w:b/>
        </w:rPr>
        <w:t>80%</w:t>
      </w:r>
      <w:r>
        <w:rPr>
          <w:b w:val="0"/>
        </w:rPr>
        <w:t>.</w:t>
      </w:r>
    </w:p>
    <w:p>
      <w:pPr>
        <w:spacing w:line="336" w:lineRule="auto" w:after="180"/>
      </w:pPr>
      <w:r>
        <w:rPr>
          <w:b w:val="0"/>
        </w:rPr>
        <w:t>The picture is a separate photo-study comparison. S1 reports 8/10 correct on indoor photos; S2 reports 16/20 on outdoor photos. Both rates are 80%, but the samples, denominators and conditions differ. Neither supplied record directly evaluates both tools on the same photos. Equal percentages do not establish equivalent performance or identical uncertainty.</w:t>
      </w:r>
    </w:p>
    <w:p>
      <w:pPr>
        <w:spacing w:line="336" w:lineRule="auto" w:after="180"/>
      </w:pPr>
      <w:r>
        <w:rPr>
          <w:b w:val="0"/>
        </w:rPr>
        <w:t>Removing the indoor/outdoor column makes the matrix less informative while leaving the original difference intact. To answer a shared application question, first define an appropriate common task, eligible data, scoring, versions and conditions; a matrix by itself does not run that evaluation.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Separate picture matrix field</w:t>
            </w:r>
          </w:p>
        </w:tc>
        <w:tc>
          <w:tcPr>
            <w:tcW w:type="dxa" w:w="3408"/>
          </w:tcPr>
          <w:p>
            <w:r>
              <w:t>S1</w:t>
            </w:r>
          </w:p>
        </w:tc>
        <w:tc>
          <w:tcPr>
            <w:tcW w:type="dxa" w:w="3408"/>
          </w:tcPr>
          <w:p>
            <w:r>
              <w:t>S2</w:t>
            </w:r>
          </w:p>
        </w:tc>
      </w:tr>
      <w:tr>
        <w:tc>
          <w:tcPr>
            <w:tcW w:type="dxa" w:w="3408"/>
          </w:tcPr>
          <w:p>
            <w:r>
              <w:t>Photo condition</w:t>
            </w:r>
          </w:p>
        </w:tc>
        <w:tc>
          <w:tcPr>
            <w:tcW w:type="dxa" w:w="3408"/>
          </w:tcPr>
          <w:p>
            <w:r>
              <w:t>Indoor</w:t>
            </w:r>
          </w:p>
        </w:tc>
        <w:tc>
          <w:tcPr>
            <w:tcW w:type="dxa" w:w="3408"/>
          </w:tcPr>
          <w:p>
            <w:r>
              <w:t>Outdoor</w:t>
            </w:r>
          </w:p>
        </w:tc>
      </w:tr>
      <w:tr>
        <w:tc>
          <w:tcPr>
            <w:tcW w:type="dxa" w:w="3408"/>
          </w:tcPr>
          <w:p>
            <w:r>
              <w:t>Correct / evaluated</w:t>
            </w:r>
          </w:p>
        </w:tc>
        <w:tc>
          <w:tcPr>
            <w:tcW w:type="dxa" w:w="3408"/>
          </w:tcPr>
          <w:p>
            <w:r>
              <w:t>8/10</w:t>
            </w:r>
          </w:p>
        </w:tc>
        <w:tc>
          <w:tcPr>
            <w:tcW w:type="dxa" w:w="3408"/>
          </w:tcPr>
          <w:p>
            <w:r>
              <w:t>16/20</w:t>
            </w:r>
          </w:p>
        </w:tc>
      </w:tr>
      <w:tr>
        <w:tc>
          <w:tcPr>
            <w:tcW w:type="dxa" w:w="3408"/>
          </w:tcPr>
          <w:p>
            <w:r>
              <w:t>Observed correctness rate</w:t>
            </w:r>
          </w:p>
        </w:tc>
        <w:tc>
          <w:tcPr>
            <w:tcW w:type="dxa" w:w="3408"/>
          </w:tcPr>
          <w:p>
            <w:r>
              <w:t>80%</w:t>
            </w:r>
          </w:p>
        </w:tc>
        <w:tc>
          <w:tcPr>
            <w:tcW w:type="dxa" w:w="3408"/>
          </w:tcPr>
          <w:p>
            <w:r>
              <w:t>80%</w:t>
            </w:r>
          </w:p>
        </w:tc>
      </w:tr>
      <w:tr>
        <w:tc>
          <w:tcPr>
            <w:tcW w:type="dxa" w:w="3408"/>
          </w:tcPr>
          <w:p>
            <w:r>
              <w:t>Exact photo IDs/population</w:t>
            </w:r>
          </w:p>
        </w:tc>
        <w:tc>
          <w:tcPr>
            <w:tcW w:type="dxa" w:w="3408"/>
          </w:tcPr>
          <w:p>
            <w:r>
              <w:t>Not reported</w:t>
            </w:r>
          </w:p>
        </w:tc>
        <w:tc>
          <w:tcPr>
            <w:tcW w:type="dxa" w:w="3408"/>
          </w:tcPr>
          <w:p>
            <w:r>
              <w:t>Not reported</w:t>
            </w:r>
          </w:p>
        </w:tc>
      </w:tr>
      <w:tr>
        <w:tc>
          <w:tcPr>
            <w:tcW w:type="dxa" w:w="3408"/>
          </w:tcPr>
          <w:p>
            <w:r>
              <w:t>Tool/model version and baseline</w:t>
            </w:r>
          </w:p>
        </w:tc>
        <w:tc>
          <w:tcPr>
            <w:tcW w:type="dxa" w:w="3408"/>
          </w:tcPr>
          <w:p>
            <w:r>
              <w:t>Not reported</w:t>
            </w:r>
          </w:p>
        </w:tc>
        <w:tc>
          <w:tcPr>
            <w:tcW w:type="dxa" w:w="3408"/>
          </w:tcPr>
          <w:p>
            <w:r>
              <w:t>Not reported</w:t>
            </w:r>
          </w:p>
        </w:tc>
      </w:tr>
      <w:tr>
        <w:tc>
          <w:tcPr>
            <w:tcW w:type="dxa" w:w="3408"/>
          </w:tcPr>
          <w:p>
            <w:r>
              <w:t>Scoring comparability</w:t>
            </w:r>
          </w:p>
        </w:tc>
        <w:tc>
          <w:tcPr>
            <w:tcW w:type="dxa" w:w="3408"/>
          </w:tcPr>
          <w:p>
            <w:r>
              <w:t>Correctness reported; exact label protocol not supplied</w:t>
            </w:r>
          </w:p>
        </w:tc>
        <w:tc>
          <w:tcPr>
            <w:tcW w:type="dxa" w:w="3408"/>
          </w:tcPr>
          <w:p>
            <w:r>
              <w:t>Correctness reported; exact label protocol not supplied</w:t>
            </w:r>
          </w:p>
        </w:tc>
      </w:tr>
      <w:tr>
        <w:tc>
          <w:tcPr>
            <w:tcW w:type="dxa" w:w="3408"/>
          </w:tcPr>
          <w:p>
            <w:r>
              <w:t>Split/resources</w:t>
            </w:r>
          </w:p>
        </w:tc>
        <w:tc>
          <w:tcPr>
            <w:tcW w:type="dxa" w:w="3408"/>
          </w:tcPr>
          <w:p>
            <w:r>
              <w:t>Not reported</w:t>
            </w:r>
          </w:p>
        </w:tc>
        <w:tc>
          <w:tcPr>
            <w:tcW w:type="dxa" w:w="3408"/>
          </w:tcPr>
          <w:p>
            <w:r>
              <w:t>Not reported</w:t>
            </w:r>
          </w:p>
        </w:tc>
      </w:tr>
      <w:tr>
        <w:tc>
          <w:tcPr>
            <w:tcW w:type="dxa" w:w="3408"/>
          </w:tcPr>
          <w:p>
            <w:r>
              <w:t>Direct same-photo A/B evaluation</w:t>
            </w:r>
          </w:p>
        </w:tc>
        <w:tc>
          <w:tcPr>
            <w:tcW w:type="dxa" w:w="3408"/>
          </w:tcPr>
          <w:p>
            <w:r>
              <w:t>Not supplied</w:t>
            </w:r>
          </w:p>
        </w:tc>
        <w:tc>
          <w:tcPr>
            <w:tcW w:type="dxa" w:w="3408"/>
          </w:tcPr>
          <w:p>
            <w:r>
              <w:t>Not supplied</w:t>
            </w:r>
          </w:p>
        </w:tc>
      </w:tr>
      <w:tr>
        <w:tc>
          <w:tcPr>
            <w:tcW w:type="dxa" w:w="3408"/>
          </w:tcPr>
          <w:p>
            <w:r>
              <w:t>Interpretation</w:t>
            </w:r>
          </w:p>
        </w:tc>
        <w:tc>
          <w:tcPr>
            <w:tcW w:type="dxa" w:w="3408"/>
          </w:tcPr>
          <w:p>
            <w:r>
              <w:t>Indoor supplied-set result</w:t>
            </w:r>
          </w:p>
        </w:tc>
        <w:tc>
          <w:tcPr>
            <w:tcW w:type="dxa" w:w="3408"/>
          </w:tcPr>
          <w:p>
            <w:r>
              <w:t>Outdoor supplied-set result; no direct equivalence/ranking established</w:t>
            </w:r>
          </w:p>
        </w:tc>
      </w:tr>
    </w:tbl>
    <w:p>
      <w:pPr>
        <w:pStyle w:val="Heading2"/>
      </w:pPr>
      <w:r>
        <w:t>Picture trace and removed-condition key</w:t>
      </w:r>
    </w:p>
    <w:p>
      <w:r>
        <w:drawing>
          <wp:inline xmlns:a="http://schemas.openxmlformats.org/drawingml/2006/main" xmlns:pic="http://schemas.openxmlformats.org/drawingml/2006/picture">
            <wp:extent cx="5486400" cy="3182112"/>
            <wp:docPr id="1" name="Picture 1" descr="Record each method: Keep population, task, model version and scoring in separate columns. → Compare rates carefully: Both rates are 80%, with different denominators and conditions. → Name missing comparison: Neither study directly compares both tools on the same photos."/>
            <wp:cNvGraphicFramePr>
              <a:graphicFrameLocks noChangeAspect="1"/>
            </wp:cNvGraphicFramePr>
            <a:graphic>
              <a:graphicData uri="http://schemas.openxmlformats.org/drawingml/2006/picture">
                <pic:pic>
                  <pic:nvPicPr>
                    <pic:cNvPr id="0" name="academy-story-ai-7-6-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Record each method</w:t>
            </w:r>
          </w:p>
        </w:tc>
        <w:tc>
          <w:tcPr>
            <w:tcW w:type="dxa" w:w="5112"/>
          </w:tcPr>
          <w:p>
            <w:r>
              <w:t>Keep population, task, model version and scoring in separate columns.</w:t>
            </w:r>
          </w:p>
        </w:tc>
      </w:tr>
      <w:tr>
        <w:tc>
          <w:tcPr>
            <w:tcW w:type="dxa" w:w="5112"/>
          </w:tcPr>
          <w:p>
            <w:r>
              <w:t>2. Compare rates carefully</w:t>
            </w:r>
          </w:p>
        </w:tc>
        <w:tc>
          <w:tcPr>
            <w:tcW w:type="dxa" w:w="5112"/>
          </w:tcPr>
          <w:p>
            <w:r>
              <w:t>Both rates are 80%, with different denominators and conditions.</w:t>
            </w:r>
          </w:p>
        </w:tc>
      </w:tr>
      <w:tr>
        <w:tc>
          <w:tcPr>
            <w:tcW w:type="dxa" w:w="5112"/>
          </w:tcPr>
          <w:p>
            <w:r>
              <w:t>3. Name missing comparison</w:t>
            </w:r>
          </w:p>
        </w:tc>
        <w:tc>
          <w:tcPr>
            <w:tcW w:type="dxa" w:w="5112"/>
          </w:tcPr>
          <w:p>
            <w:r>
              <w:t>Neither study directly compares both tools on the same photos.</w:t>
            </w:r>
          </w:p>
        </w:tc>
      </w:tr>
    </w:tbl>
    <w:p>
      <w:r>
        <w:t>Match each pictured step to the supplied facts. This is a worked teaching case, not an independent assessment.</w:t>
      </w:r>
    </w:p>
    <w:p>
      <w:pPr>
        <w:spacing w:line="336" w:lineRule="auto" w:after="180"/>
      </w:pPr>
      <w:r>
        <w:rPr>
          <w:b w:val="0"/>
        </w:rPr>
        <w:t xml:space="preserve">A </w:t>
      </w:r>
      <w:r>
        <w:rPr>
          <w:b/>
        </w:rPr>
        <w:t>literature matrix</w:t>
      </w:r>
      <w:r>
        <w:rPr>
          <w:b w:val="0"/>
        </w:rPr>
        <w:t xml:space="preserve"> helps compare </w:t>
      </w:r>
      <w:r>
        <w:rPr>
          <w:b/>
        </w:rPr>
        <w:t>evidence</w:t>
      </w:r>
      <w:r>
        <w:rPr>
          <w:b w:val="0"/>
        </w:rPr>
        <w:t xml:space="preserve"> without flattening differences. Equal percentages do not mean equivalent tasks, samples or methods.</w:t>
      </w:r>
    </w:p>
    <w:p>
      <w:pPr>
        <w:spacing w:line="336" w:lineRule="auto" w:after="180"/>
      </w:pPr>
      <w:r>
        <w:rPr>
          <w:b w:val="0"/>
        </w:rPr>
        <w:t>These fictional studies illustrate comparison practice; no real literature finding is asserted.</w:t>
      </w:r>
    </w:p>
    <w:p>
      <w:pPr>
        <w:spacing w:line="336" w:lineRule="auto" w:after="180"/>
      </w:pPr>
      <w:r>
        <w:rPr>
          <w:b w:val="0"/>
        </w:rPr>
        <w:t>Change: Remove the indoor/outdoor column.</w:t>
      </w:r>
    </w:p>
    <w:p>
      <w:pPr>
        <w:spacing w:line="336" w:lineRule="auto" w:after="180"/>
      </w:pPr>
      <w:r>
        <w:rPr>
          <w:b/>
        </w:rPr>
        <w:t>Prediction</w:t>
      </w:r>
      <w:r>
        <w:rPr>
          <w:b w:val="0"/>
        </w:rPr>
        <w:t>: The matrix conceals an important condition difference.</w:t>
      </w:r>
    </w:p>
    <w:p>
      <w:pPr>
        <w:spacing w:line="336" w:lineRule="auto" w:after="180"/>
      </w:pPr>
      <w:r>
        <w:rPr>
          <w:b w:val="0"/>
        </w:rPr>
        <w:t>Reason: A reader might now mistake unlike studies for a controlled head-to-head comparison.</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Literature matrix</w:t>
            </w:r>
          </w:p>
        </w:tc>
        <w:tc>
          <w:tcPr>
            <w:tcW w:type="dxa" w:w="5112"/>
          </w:tcPr>
          <w:p>
            <w:r>
              <w:t>A structured comparison of study methods and results</w:t>
            </w:r>
          </w:p>
        </w:tc>
      </w:tr>
      <w:tr>
        <w:tc>
          <w:tcPr>
            <w:tcW w:type="dxa" w:w="5112"/>
          </w:tcPr>
          <w:p>
            <w:r>
              <w:t>Comparable metric</w:t>
            </w:r>
          </w:p>
        </w:tc>
        <w:tc>
          <w:tcPr>
            <w:tcW w:type="dxa" w:w="5112"/>
          </w:tcPr>
          <w:p>
            <w:r>
              <w:t>A measure with aligned definition and scope</w:t>
            </w:r>
          </w:p>
        </w:tc>
      </w:tr>
      <w:tr>
        <w:tc>
          <w:tcPr>
            <w:tcW w:type="dxa" w:w="5112"/>
          </w:tcPr>
          <w:p>
            <w:r>
              <w:t>Evidence gap</w:t>
            </w:r>
          </w:p>
        </w:tc>
        <w:tc>
          <w:tcPr>
            <w:tcW w:type="dxa" w:w="5112"/>
          </w:tcPr>
          <w:p>
            <w:r>
              <w:t>Information needed but not supplied</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 literature comparison matrix</w:t>
      </w:r>
    </w:p>
    <w:p>
      <w:pPr>
        <w:pStyle w:val="Heading3"/>
      </w:pPr>
      <w:r>
        <w:t>The facts we will use</w:t>
      </w:r>
    </w:p>
    <w:p>
      <w:r>
        <w:drawing>
          <wp:inline xmlns:a="http://schemas.openxmlformats.org/drawingml/2006/main" xmlns:pic="http://schemas.openxmlformats.org/drawingml/2006/picture">
            <wp:extent cx="5486400" cy="3077029"/>
            <wp:docPr id="2" name="Picture 2" descr="Same rate, different study conditions"/>
            <wp:cNvGraphicFramePr>
              <a:graphicFrameLocks noChangeAspect="1"/>
            </wp:cNvGraphicFramePr>
            <a:graphic>
              <a:graphicData uri="http://schemas.openxmlformats.org/drawingml/2006/picture">
                <pic:pic>
                  <pic:nvPicPr>
                    <pic:cNvPr id="0" name="academy-detail-ai-7-6.png"/>
                    <pic:cNvPicPr/>
                  </pic:nvPicPr>
                  <pic:blipFill>
                    <a:blip r:embed="rId1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61429"/>
            <wp:docPr id="3" name="Picture 3" descr="A literature comparison matrix. Record each method: Keep population, task, model version and scoring in separate columns.. Compare rates carefully: Both rates are 80%, with different denominators and conditions.. Name missing comparison: Neither study directly compares both tools on the same photos."/>
            <wp:cNvGraphicFramePr>
              <a:graphicFrameLocks noChangeAspect="1"/>
            </wp:cNvGraphicFramePr>
            <a:graphic>
              <a:graphicData uri="http://schemas.openxmlformats.org/drawingml/2006/picture">
                <pic:pic>
                  <pic:nvPicPr>
                    <pic:cNvPr id="0" name="academy-visual-ai-7-6.png"/>
                    <pic:cNvPicPr/>
                  </pic:nvPicPr>
                  <pic:blipFill>
                    <a:blip r:embed="rId11"/>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Study A reports accuracy 90% on easy classification; B reports claim support </w:t>
      </w:r>
      <w:r>
        <w:rPr>
          <w:b/>
        </w:rPr>
        <w:t>80%</w:t>
      </w:r>
      <w:r>
        <w:rPr>
          <w:b w:val="0"/>
        </w:rPr>
        <w:t xml:space="preserve"> on difficult generated answers. Show the intermediate steps and give the conclusion with its scope.</w:t>
      </w:r>
    </w:p>
    <w:p>
      <w:pPr>
        <w:spacing w:line="336" w:lineRule="auto" w:after="180"/>
      </w:pPr>
      <w:r>
        <w:rPr>
          <w:b w:val="0"/>
        </w:rPr>
        <w:t>Teacher check: Teacher explanation: Different tasks and metrics cannot establish A superior to B. Keep separate columns and identify a common evaluation needed.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A literature comparison matrix.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A matrix documents comparison limits; it does not create missing common </w:t>
      </w:r>
      <w:r>
        <w:rPr>
          <w:b/>
        </w:rPr>
        <w:t>evidence</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Explain why 8/10 indoors and 16/20 outdoors share a rate but not a controlled comparison. Which condition column must the </w:t>
      </w:r>
      <w:r>
        <w:rPr>
          <w:b/>
        </w:rPr>
        <w:t>literature matrix</w:t>
      </w:r>
      <w:r>
        <w:rPr>
          <w:b w:val="0"/>
        </w:rPr>
        <w:t xml:space="preserve"> preserve?</w:t>
      </w:r>
    </w:p>
    <w:p>
      <w:pPr>
        <w:spacing w:line="336" w:lineRule="auto" w:after="180"/>
      </w:pPr>
      <w:r>
        <w:rPr>
          <w:b w:val="0"/>
        </w:rPr>
        <w:t xml:space="preserve">Keep population, task, model version and scoring in separate columns. Both rates are </w:t>
      </w:r>
      <w:r>
        <w:rPr>
          <w:b/>
        </w:rPr>
        <w:t>80%</w:t>
      </w:r>
      <w:r>
        <w:rPr>
          <w:b w:val="0"/>
        </w:rPr>
        <w:t>, with different denominators and conditions. Neither study directly compares both tools on the same photos.</w:t>
      </w:r>
    </w:p>
    <w:p>
      <w:pPr>
        <w:spacing w:line="336" w:lineRule="auto" w:after="180"/>
      </w:pPr>
      <w:r>
        <w:rPr>
          <w:b w:val="0"/>
        </w:rPr>
        <w:t>Changed case: The matrix conceals an important condition difference. A reader might now mistake unlike studies for a controlled head-to-head comparison.</w:t>
      </w:r>
    </w:p>
    <w:p>
      <w:pPr>
        <w:spacing w:line="336" w:lineRule="auto" w:after="180"/>
      </w:pPr>
      <w:r>
        <w:rPr>
          <w:b w:val="0"/>
        </w:rPr>
        <w:t>Changed-case reasoning: The matrix conceals an important condition difference. A reader might now mistake unlike studies for a controlled head-to-head comparison.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90/80% numbers cannot rank classification versus generated-answer support; unknown fields stay not reported. Picture both 80% but different indoor/outdoor cases and denominators do not establish equivalence or direct ranking. Selected recall@5 .8 versus precision@3 .9 on another corpus has different metric, cutoff and data; align task and judged data before comparison.</w:t>
      </w:r>
    </w:p>
    <w:p>
      <w:pPr>
        <w:spacing w:line="336" w:lineRule="auto" w:after="180"/>
      </w:pPr>
      <w:r>
        <w:rPr>
          <w:b w:val="0"/>
        </w:rPr>
        <w:t>Do not invent aggregation or raw counts from the decimals.</w:t>
      </w:r>
    </w:p>
    <w:p>
      <w:pPr>
        <w:pStyle w:val="Heading2"/>
      </w:pPr>
      <w:r>
        <w:t>Diagnose the current misconceptions</w:t>
      </w:r>
    </w:p>
    <w:p>
      <w:pPr>
        <w:spacing w:line="336" w:lineRule="auto" w:after="180"/>
      </w:pPr>
      <w:r>
        <w:rPr>
          <w:b w:val="0"/>
        </w:rPr>
        <w:t xml:space="preserve">The worked result establishes every future case: A matrix documents comparison limits; it does not create missing common </w:t>
      </w:r>
      <w:r>
        <w:rPr>
          <w:b/>
        </w:rPr>
        <w:t>evidence</w:t>
      </w:r>
      <w:r>
        <w:rPr>
          <w:b w:val="0"/>
        </w:rPr>
        <w: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A has recall@5 .8; B has precision@3 .9 on another corpus. Can you rank them?</w:t>
      </w:r>
    </w:p>
    <w:p>
      <w:pPr>
        <w:spacing w:line="336" w:lineRule="auto" w:after="180"/>
      </w:pPr>
      <w:r>
        <w:rPr>
          <w:b w:val="0"/>
        </w:rPr>
        <w:t>Teacher explanation: No directly comparable ranking: cutoff, metric and corpus differ. Align task and judged data before comparison.</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A </w:t>
      </w:r>
      <w:r>
        <w:rPr>
          <w:b/>
        </w:rPr>
        <w:t>literature matrix</w:t>
      </w:r>
      <w:r>
        <w:rPr>
          <w:b w:val="0"/>
        </w:rPr>
        <w:t xml:space="preserve"> compares studies using aligned columns rather than sorting headline numbers with different meanings. Record question, data, unit, baseline, metric, split, resources and limitations.</w:t>
      </w:r>
    </w:p>
    <w:p>
      <w:pPr>
        <w:spacing w:line="336" w:lineRule="auto" w:after="180"/>
      </w:pPr>
      <w:r>
        <w:rPr>
          <w:b w:val="0"/>
        </w:rPr>
        <w:t>Mark incomparable fields rather than forcing a ranking.</w:t>
      </w:r>
    </w:p>
    <w:p>
      <w:pPr>
        <w:pStyle w:val="Heading2"/>
      </w:pPr>
      <w:r>
        <w:t>W2 Trace the worked case</w:t>
      </w:r>
    </w:p>
    <w:p>
      <w:pPr>
        <w:spacing w:line="336" w:lineRule="auto" w:after="180"/>
      </w:pPr>
      <w:r>
        <w:rPr>
          <w:b w:val="0"/>
        </w:rPr>
        <w:t xml:space="preserve">Study A reports accuracy 90% on easy classification; B reports claim support </w:t>
      </w:r>
      <w:r>
        <w:rPr>
          <w:b/>
        </w:rPr>
        <w:t>80%</w:t>
      </w:r>
      <w:r>
        <w:rPr>
          <w:b w:val="0"/>
        </w:rPr>
        <w:t xml:space="preserve"> on difficult generated answers. Show the intermediate steps and give the conclusion with its scope.</w:t>
      </w:r>
    </w:p>
    <w:p>
      <w:pPr>
        <w:spacing w:line="336" w:lineRule="auto" w:after="180"/>
      </w:pPr>
      <w:r>
        <w:rPr>
          <w:b w:val="0"/>
        </w:rPr>
        <w:t>Teacher explanation: Different tasks and metrics cannot establish A superior to B. Keep separate columns and identify a common evaluation needed.</w:t>
      </w:r>
    </w:p>
    <w:p>
      <w:pPr>
        <w:pStyle w:val="Heading2"/>
      </w:pPr>
      <w:r>
        <w:t>W3 Audit the limit</w:t>
      </w:r>
    </w:p>
    <w:p>
      <w:pPr>
        <w:spacing w:line="336" w:lineRule="auto" w:after="180"/>
      </w:pPr>
      <w:r>
        <w:rPr>
          <w:b w:val="0"/>
        </w:rPr>
        <w:t xml:space="preserve">A report omits this qualification: A matrix documents comparison limits; it does not create missing common </w:t>
      </w:r>
      <w:r>
        <w:rPr>
          <w:b/>
        </w:rPr>
        <w:t>evidence</w:t>
      </w:r>
      <w:r>
        <w:rPr>
          <w:b w:val="0"/>
        </w:rPr>
        <w:t>. Explain how omitting it could change a reader's interpretation, and write an accurate replacement.</w:t>
      </w:r>
    </w:p>
    <w:p>
      <w:pPr>
        <w:spacing w:line="336" w:lineRule="auto" w:after="180"/>
      </w:pPr>
      <w:r>
        <w:rPr>
          <w:b w:val="0"/>
        </w:rPr>
        <w:t xml:space="preserve">Teacher explanation: A matrix documents comparison limits; it does not create missing common </w:t>
      </w:r>
      <w:r>
        <w:rPr>
          <w:b/>
        </w:rPr>
        <w:t>evidence</w:t>
      </w:r>
      <w:r>
        <w:rPr>
          <w:b w:val="0"/>
        </w:rPr>
        <w:t>.</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A matrix documents comparison limits; it does not create missing common </w:t>
      </w:r>
      <w:r>
        <w:rPr>
          <w:b/>
        </w:rPr>
        <w:t>evidence</w:t>
      </w:r>
      <w:r>
        <w:rPr>
          <w:b w:val="0"/>
        </w:rPr>
        <w:t>.</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Different tasks and metrics cannot establish A superior to B. Keep separate columns and identify a common evaluation needed.</w:t>
      </w:r>
    </w:p>
    <w:p>
      <w:pPr>
        <w:spacing w:line="336" w:lineRule="auto" w:after="180"/>
      </w:pPr>
      <w:r>
        <w:rPr>
          <w:b w:val="0"/>
        </w:rPr>
        <w:t xml:space="preserve">Qualification: A matrix documents comparison limits; it does not create missing common </w:t>
      </w:r>
      <w:r>
        <w:rPr>
          <w:b/>
        </w:rPr>
        <w:t>evidence</w:t>
      </w:r>
      <w:r>
        <w:rPr>
          <w:b w:val="0"/>
        </w:rPr>
        <w: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A has recall@5 .8; B has precision@3 .9 on another corpus. Can you rank them?</w:t>
      </w:r>
    </w:p>
    <w:p>
      <w:pPr>
        <w:spacing w:line="336" w:lineRule="auto" w:after="180"/>
      </w:pPr>
      <w:r>
        <w:rPr>
          <w:b w:val="0"/>
        </w:rPr>
        <w:t>Teacher explanation: No directly comparable ranking: cutoff, metric and corpus differ. Align task and judged data before comparison.</w:t>
      </w:r>
    </w:p>
    <w:p>
      <w:pPr>
        <w:pStyle w:val="Heading3"/>
      </w:pPr>
      <w:r>
        <w:t>W5 Design a revealing follow-up</w:t>
      </w:r>
    </w:p>
    <w:p>
      <w:pPr>
        <w:pStyle w:val="Heading3"/>
      </w:pPr>
      <w:r>
        <w:t>Independent assessment and fresh retry</w:t>
      </w:r>
    </w:p>
    <w:p>
      <w:pPr>
        <w:spacing w:line="336" w:lineRule="auto" w:after="180"/>
      </w:pPr>
      <w:r>
        <w:rPr>
          <w:b w:val="0"/>
        </w:rPr>
        <w:t>W4: No directly comparable ranking: cutoff, metric and corpus differ. Align task and judged data before comparison. Require intermediate reasoning and the stated scope. Fresh retry: One study reports mean latency, another median on different hardware. Expected reasoning: Record statistic/workload/hardware differences; headline values are not a matched comparison. 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a literature comparison matrix </w:t>
      </w:r>
      <w:r>
        <w:rPr>
          <w:b/>
        </w:rPr>
        <w:t>evidence</w:t>
      </w:r>
      <w:r>
        <w:rPr>
          <w:b w:val="0"/>
        </w:rPr>
        <w:t xml:space="preserve"> sheet to Reproducible AI Research Study. Show how you can explain the </w:t>
      </w:r>
      <w:r>
        <w:rPr>
          <w:b/>
        </w:rPr>
        <w:t>mechanism</w:t>
      </w:r>
      <w:r>
        <w:rPr>
          <w:b w:val="0"/>
        </w:rPr>
        <w:t xml:space="preserve"> and terminology of a literature comparison matrix.</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Hypotheses and measurable outcomes.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ai-7/7, ai-7/9, ai-7/12.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a literature comparison matrix</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 xml:space="preserve">Before class, solve the supported practice: Study A reports accuracy 90% on easy classification; B reports claim support </w:t>
      </w:r>
      <w:r>
        <w:rPr>
          <w:b/>
        </w:rPr>
        <w:t>80%</w:t>
      </w:r>
      <w:r>
        <w:rPr>
          <w:b w:val="0"/>
        </w:rPr>
        <w:t xml:space="preserve"> on difficult generated answers. Show the intermediate steps and give the conclusion with its scope.</w:t>
      </w:r>
    </w:p>
    <w:p>
      <w:pPr>
        <w:spacing w:line="336" w:lineRule="auto" w:after="180"/>
      </w:pPr>
      <w:r>
        <w:rPr>
          <w:b w:val="0"/>
        </w:rPr>
        <w:t>Reasoned practice answer: Teacher explanation: Different tasks and metrics cannot establish A superior to B. Keep separate columns and identify a common evaluation needed.</w:t>
      </w:r>
    </w:p>
    <w:p>
      <w:pPr>
        <w:spacing w:line="336" w:lineRule="auto" w:after="180"/>
      </w:pPr>
      <w:r>
        <w:rPr>
          <w:b w:val="0"/>
        </w:rPr>
        <w:t>Check every learner before discussion: Use the worked case for A literature comparison matrix.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 matrix documents comparison limits; it does not create missing common </w:t>
      </w:r>
      <w:r>
        <w:rPr>
          <w:b/>
        </w:rPr>
        <w:t>evidence</w:t>
      </w:r>
      <w:r>
        <w:rPr>
          <w:b w:val="0"/>
        </w:rPr>
        <w:t>.</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Remove the indoor/outdoor column. Require a </w:t>
      </w:r>
      <w:r>
        <w:rPr>
          <w:b/>
        </w:rPr>
        <w:t>prediction</w:t>
      </w:r>
      <w:r>
        <w:rPr>
          <w:b w:val="0"/>
        </w:rPr>
        <w:t xml:space="preserve"> and a reason before comparing. Expected result: The matrix conceals an important condition difference.</w:t>
      </w:r>
    </w:p>
    <w:p>
      <w:pPr>
        <w:spacing w:line="336" w:lineRule="auto" w:after="180"/>
      </w:pPr>
      <w:r>
        <w:rPr>
          <w:b w:val="0"/>
        </w:rPr>
        <w:t>Reason: A reader might now mistake unlike studies for a controlled head-to-head comparison.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A literature comparison matrix: the case</w:t>
      </w:r>
    </w:p>
    <w:p>
      <w:r>
        <w:drawing>
          <wp:inline xmlns:a="http://schemas.openxmlformats.org/drawingml/2006/main" xmlns:pic="http://schemas.openxmlformats.org/drawingml/2006/picture">
            <wp:extent cx="5486400" cy="2834640"/>
            <wp:docPr id="4" name="Picture 4" descr="A literature matrix that preserves differences. Two fictional studies evaluate related tools under different conditions. Supplied facts: Study S1: 8/10 correct on indoor photos. S2: 16/20 on outdoor photos. Both report 80%."/>
            <wp:cNvGraphicFramePr>
              <a:graphicFrameLocks noChangeAspect="1"/>
            </wp:cNvGraphicFramePr>
            <a:graphic>
              <a:graphicData uri="http://schemas.openxmlformats.org/drawingml/2006/picture">
                <pic:pic>
                  <pic:nvPicPr>
                    <pic:cNvPr id="0" name="academy-story-ai-7-6-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literature matrix</w:t>
      </w:r>
      <w:r>
        <w:rPr>
          <w:b w:val="0"/>
        </w:rPr>
        <w:t xml:space="preserve"> that preserves differences. Two fictional studies evaluate related tools under different conditions. Supplied facts: Study S1: 8/10 correct on indoor photos. S2: 16/20 on outdoor photos. Both report </w:t>
      </w:r>
      <w:r>
        <w:rPr>
          <w:b/>
        </w:rPr>
        <w:t>80%</w:t>
      </w:r>
      <w:r>
        <w:rPr>
          <w:b w:val="0"/>
        </w:rPr>
        <w:t>.</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Record each method: Keep population, task, model version and scoring in separate columns. → Compare rates carefully: Both rates are 80%, with different denominators and conditions. → Name missing comparison: Neither study directly compares both tools on the same photos."/>
            <wp:cNvGraphicFramePr>
              <a:graphicFrameLocks noChangeAspect="1"/>
            </wp:cNvGraphicFramePr>
            <a:graphic>
              <a:graphicData uri="http://schemas.openxmlformats.org/drawingml/2006/picture">
                <pic:pic>
                  <pic:nvPicPr>
                    <pic:cNvPr id="0" name="academy-story-ai-7-6-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Record each method: Keep population, task, model version and scoring in separate columns. → Compare rates carefully: Both rates are </w:t>
      </w:r>
      <w:r>
        <w:rPr>
          <w:b/>
        </w:rPr>
        <w:t>80%</w:t>
      </w:r>
      <w:r>
        <w:rPr>
          <w:b w:val="0"/>
        </w:rPr>
        <w:t>, with different denominators and conditions. → Name missing comparison: Neither study directly compares both tools on the same photos.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Same rate, different study conditions</w:t>
      </w:r>
    </w:p>
    <w:p>
      <w:r>
        <w:drawing>
          <wp:inline xmlns:a="http://schemas.openxmlformats.org/drawingml/2006/main" xmlns:pic="http://schemas.openxmlformats.org/drawingml/2006/picture">
            <wp:extent cx="5486400" cy="3096768"/>
            <wp:docPr id="6" name="Picture 6" descr="Same rate, different study conditions. Study S1: Correct = 8, Total = 10, Condition = Indoor. Study S2: Correct = 16, Total = 20, Condition = Outdoor."/>
            <wp:cNvGraphicFramePr>
              <a:graphicFrameLocks noChangeAspect="1"/>
            </wp:cNvGraphicFramePr>
            <a:graphic>
              <a:graphicData uri="http://schemas.openxmlformats.org/drawingml/2006/picture">
                <pic:pic>
                  <pic:nvPicPr>
                    <pic:cNvPr id="0" name="academy-story-ai-7-6-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Same rate, different study conditions. Study S1: Correct = 8, Total = 10, Condition = Indoor. Study S2: Correct = 16, Total = 20, Condition = Outdoor.</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Neither study directly compares both tools on the same photos. Changed condition: Remove the indoor/outdoor column. Expected result: The matrix conceals an important condition difference. Reason: A reader might now mistake unlike studies for a controlled head-to-head comparison."/>
            <wp:cNvGraphicFramePr>
              <a:graphicFrameLocks noChangeAspect="1"/>
            </wp:cNvGraphicFramePr>
            <a:graphic>
              <a:graphicData uri="http://schemas.openxmlformats.org/drawingml/2006/picture">
                <pic:pic>
                  <pic:nvPicPr>
                    <pic:cNvPr id="0" name="academy-story-ai-7-6-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Neither study directly compares both tools on the same photos. Changed condition: Remove the indoor/outdoor column. Expected result: The matrix conceals an important condition difference.</w:t>
      </w:r>
    </w:p>
    <w:p>
      <w:pPr>
        <w:spacing w:line="336" w:lineRule="auto" w:after="180"/>
      </w:pPr>
      <w:r>
        <w:rPr>
          <w:b w:val="0"/>
        </w:rPr>
        <w:t>Reason: A reader might now mistake unlike studies for a controlled head-to-head comparison.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A reader might now mistake unlike studies for a controlled head-to-head comparison.</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literature matrix helps compare evidence without flattening differences. Equal percentages do not mean equivalent tasks, samples or methods. Limit: These fictional studies illustrate comparison practice; no real literature finding is asserted."/>
            <wp:cNvGraphicFramePr>
              <a:graphicFrameLocks noChangeAspect="1"/>
            </wp:cNvGraphicFramePr>
            <a:graphic>
              <a:graphicData uri="http://schemas.openxmlformats.org/drawingml/2006/picture">
                <pic:pic>
                  <pic:nvPicPr>
                    <pic:cNvPr id="0" name="academy-story-ai-7-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literature matrix</w:t>
      </w:r>
      <w:r>
        <w:rPr>
          <w:b w:val="0"/>
        </w:rPr>
        <w:t xml:space="preserve"> helps compare </w:t>
      </w:r>
      <w:r>
        <w:rPr>
          <w:b/>
        </w:rPr>
        <w:t>evidence</w:t>
      </w:r>
      <w:r>
        <w:rPr>
          <w:b w:val="0"/>
        </w:rPr>
        <w:t xml:space="preserve"> without flattening differences. Equal percentages do not mean equivalent tasks, samples or methods.</w:t>
      </w:r>
    </w:p>
    <w:p>
      <w:pPr>
        <w:spacing w:line="336" w:lineRule="auto" w:after="180"/>
      </w:pPr>
      <w:r>
        <w:rPr>
          <w:b w:val="0"/>
        </w:rPr>
        <w:t>Limit: These fictional studies illustrate comparison practice; no real literature finding is asserted.</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These fictional studies illustrate comparison practice; no real literature finding is asserted.</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Explain why 8/10 indoors and 16/20 outdoors share a rate but not a controlled comparison. Which condition column must the literature matrix preserve?"/>
            <wp:cNvGraphicFramePr>
              <a:graphicFrameLocks noChangeAspect="1"/>
            </wp:cNvGraphicFramePr>
            <a:graphic>
              <a:graphicData uri="http://schemas.openxmlformats.org/drawingml/2006/picture">
                <pic:pic>
                  <pic:nvPicPr>
                    <pic:cNvPr id="0" name="academy-story-ai-7-6-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Explain why 8/10 indoors and 16/20 outdoors share a rate but not a controlled comparison. Which condition column must the </w:t>
      </w:r>
      <w:r>
        <w:rPr>
          <w:b/>
        </w:rPr>
        <w:t>literature matrix</w:t>
      </w:r>
      <w:r>
        <w:rPr>
          <w:b w:val="0"/>
        </w:rPr>
        <w:t xml:space="preserve"> preserve?</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Keep population, task, model version and scoring in separate columns. Both rates are </w:t>
      </w:r>
      <w:r>
        <w:rPr>
          <w:b/>
        </w:rPr>
        <w:t>80%</w:t>
      </w:r>
      <w:r>
        <w:rPr>
          <w:b w:val="0"/>
        </w:rPr>
        <w:t>, with different denominators and conditions. Neither study directly compares both tools on the same photos.</w:t>
      </w:r>
    </w:p>
    <w:p>
      <w:pPr>
        <w:spacing w:line="336" w:lineRule="auto" w:after="180"/>
      </w:pPr>
      <w:r>
        <w:rPr>
          <w:b w:val="0"/>
        </w:rPr>
        <w:t>Changed case: The matrix conceals an important condition difference. A reader might now mistake unlike studies for a controlled head-to-head comparison.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 literature comparison matrix: the case</w:t>
      </w:r>
    </w:p>
    <w:p>
      <w:pPr>
        <w:pStyle w:val="Heading3"/>
      </w:pPr>
      <w:r>
        <w:t>02. Follow the deciding steps</w:t>
      </w:r>
    </w:p>
    <w:p>
      <w:pPr>
        <w:pStyle w:val="Heading3"/>
      </w:pPr>
      <w:r>
        <w:t>03. Same rate, different study conditions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