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ai-7/9</w:t>
      </w:r>
    </w:p>
    <w:p>
      <w:pPr>
        <w:pStyle w:val="Title"/>
      </w:pPr>
      <w:r>
        <w:t>Experimental units and independence</w:t>
      </w:r>
    </w:p>
    <w:p>
      <w:r>
        <w:t>Project: Reproducible AI Research Study</w:t>
      </w:r>
    </w:p>
    <w:p>
      <w:pPr>
        <w:pStyle w:val="Heading1"/>
      </w:pPr>
      <w:r>
        <w:t>Ask what receives treatment, what was sampled and what each row measures.</w:t>
      </w:r>
    </w:p>
    <w:p>
      <w:r>
        <w:t>Teach precise units and leakage checks with an authoritative definition and bounded metadata evidence.</w:t>
      </w:r>
    </w:p>
    <w:p>
      <w:r>
        <w:t>Model repeated-query count → group plant views → inspect moved-view leak → assess classroom assignment → retain independence/design assumptions.</w:t>
      </w:r>
    </w:p>
    <w:p>
      <w:pPr>
        <w:pStyle w:val="Heading1"/>
      </w:pPr>
      <w:r>
        <w:t>01. Prepare the connected research investigation</w:t>
      </w:r>
    </w:p>
    <w:p>
      <w:r>
        <w:t>Keep modelling, shared practice and independent evidence distinct.</w:t>
      </w:r>
    </w:p>
    <w:p>
      <w:pPr>
        <w:pStyle w:val="Heading2"/>
      </w:pPr>
      <w:r>
        <w:t>Target and main teaching plan</w:t>
      </w:r>
    </w:p>
    <w:p>
      <w:pPr>
        <w:spacing w:line="336" w:lineRule="auto" w:after="180"/>
      </w:pPr>
      <w:r>
        <w:rPr>
          <w:b w:val="0"/>
        </w:rPr>
        <w:t xml:space="preserve">Primary target: Explain the </w:t>
      </w:r>
      <w:r>
        <w:rPr>
          <w:b/>
        </w:rPr>
        <w:t>mechanism</w:t>
      </w:r>
      <w:r>
        <w:rPr>
          <w:b w:val="0"/>
        </w:rPr>
        <w:t xml:space="preserve"> and terminology of </w:t>
      </w:r>
      <w:r>
        <w:rPr>
          <w:b/>
        </w:rPr>
        <w:t>experimental unit</w:t>
      </w:r>
      <w:r>
        <w:rPr>
          <w:b w:val="0"/>
        </w:rPr>
        <w:t>s and independence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2"/>
      </w:pPr>
      <w:r>
        <w:t>Opening retrieval</w:t>
      </w:r>
    </w:p>
    <w:p>
      <w:pPr>
        <w:spacing w:line="336" w:lineRule="auto" w:after="180"/>
      </w:pPr>
      <w:r>
        <w:rPr>
          <w:b w:val="0"/>
        </w:rPr>
        <w:t>Without opening the old lesson, explain one key idea from Baselines and fair comparisons.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baselines and fair comparisons</w:t>
      </w:r>
    </w:p>
    <w:p>
      <w:pPr>
        <w:spacing w:line="336" w:lineRule="auto" w:after="180"/>
      </w:pPr>
      <w:r>
        <w:rPr>
          <w:b w:val="0"/>
        </w:rPr>
        <w:t xml:space="preserve">Reference example, not the only acceptable wording: Teacher explanation: Fair baselines use credible procedures on matched </w:t>
      </w:r>
      <w:r>
        <w:rPr>
          <w:b/>
        </w:rPr>
        <w:t>evidence</w:t>
      </w:r>
      <w:r>
        <w:rPr>
          <w:b w:val="0"/>
        </w:rPr>
        <w:t xml:space="preserve"> and resource conditions. A weak arbitrary reference can exaggerate improvement.</w:t>
      </w:r>
    </w:p>
    <w:p>
      <w:pPr>
        <w:spacing w:line="336" w:lineRule="auto" w:after="180"/>
      </w:pPr>
      <w:r>
        <w:rPr>
          <w:b w:val="0"/>
        </w:rPr>
        <w:t>For a room-reporting study use manual authoritative lookup or a deterministic same-room rule, not random room names. Match cases, available sources and scoring.</w:t>
      </w:r>
    </w:p>
    <w:p>
      <w:pPr>
        <w:spacing w:line="336" w:lineRule="auto" w:after="180"/>
      </w:pPr>
      <w:r>
        <w:rPr>
          <w:b w:val="0"/>
        </w:rPr>
        <w:t>Without opening the old lesson, explain one key idea from A literature comparison matrix.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a literature comparison matrix</w:t>
      </w:r>
    </w:p>
    <w:p>
      <w:pPr>
        <w:spacing w:line="336" w:lineRule="auto" w:after="180"/>
      </w:pPr>
      <w:r>
        <w:rPr>
          <w:b w:val="0"/>
        </w:rPr>
        <w:t>Reference example, not the only acceptable wording: Teacher explanation: A literature matrix compares studies using aligned columns rather than sorting headline numbers with different meanings.</w:t>
      </w:r>
    </w:p>
    <w:p>
      <w:pPr>
        <w:spacing w:line="336" w:lineRule="auto" w:after="180"/>
      </w:pPr>
      <w:r>
        <w:rPr>
          <w:b w:val="0"/>
        </w:rPr>
        <w:t>Record question, data, unit, baseline, metric, split, resources and limitations. Mark incomparable fields rather than forcing a ranking.</w:t>
      </w:r>
    </w:p>
    <w:p>
      <w:pPr>
        <w:spacing w:line="336" w:lineRule="auto" w:after="180"/>
      </w:pPr>
      <w:r>
        <w:rPr>
          <w:b w:val="0"/>
        </w:rPr>
        <w:t>Without opening the old lesson, explain one key idea from Finding primary research.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finding primary research</w:t>
      </w:r>
    </w:p>
    <w:p>
      <w:pPr>
        <w:spacing w:line="336" w:lineRule="auto" w:after="180"/>
      </w:pPr>
      <w:r>
        <w:rPr>
          <w:b w:val="0"/>
        </w:rPr>
        <w:t xml:space="preserve">Reference example, not the only acceptable wording: Teacher explanation: Primary research presents a study's own methods and results. A summary can help discovery but should not replace inspection of the original </w:t>
      </w:r>
      <w:r>
        <w:rPr>
          <w:b/>
        </w:rPr>
        <w:t>evidence</w:t>
      </w:r>
      <w:r>
        <w:rPr>
          <w:b w:val="0"/>
        </w:rPr>
        <w:t>.</w:t>
      </w:r>
    </w:p>
    <w:p>
      <w:pPr>
        <w:spacing w:line="336" w:lineRule="auto" w:after="180"/>
      </w:pPr>
      <w:r>
        <w:rPr>
          <w:b w:val="0"/>
        </w:rPr>
        <w:t>Record title, authors, version, date, identifier and access location. Distinguish paper, code, data and commentary. Verify that a quoted claim belongs to the cited version.</w:t>
      </w:r>
    </w:p>
    <w:p>
      <w:pPr>
        <w:pStyle w:val="Heading2"/>
      </w:pPr>
      <w:r>
        <w:t>Pictured end goal</w:t>
      </w:r>
    </w:p>
    <w:p>
      <w:pPr>
        <w:spacing w:line="336" w:lineRule="auto" w:after="180"/>
      </w:pPr>
      <w:r>
        <w:rPr>
          <w:b w:val="0"/>
        </w:rPr>
        <w:t xml:space="preserve">Explain </w:t>
      </w:r>
      <w:r>
        <w:rPr>
          <w:b/>
        </w:rPr>
        <w:t>experimental unit</w:t>
      </w:r>
      <w:r>
        <w:rPr>
          <w:b w:val="0"/>
        </w:rPr>
        <w:t>s and independence using the records and boundaries of this fictional investigation.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Baselines and fair comparisons</w:t>
      </w:r>
    </w:p>
    <w:p>
      <w:pPr>
        <w:pStyle w:val="Heading3"/>
      </w:pPr>
      <w:r>
        <w:t>A literature comparison matrix</w:t>
      </w:r>
    </w:p>
    <w:p>
      <w:pPr>
        <w:pStyle w:val="Heading3"/>
      </w:pPr>
      <w:r>
        <w:t>Finding primary research</w:t>
      </w:r>
    </w:p>
    <w:p>
      <w:pPr>
        <w:spacing w:line="336" w:lineRule="auto" w:after="180"/>
      </w:pPr>
      <w:r>
        <w:rPr>
          <w:b w:val="0"/>
        </w:rPr>
        <w:t xml:space="preserve">Compact alternative: two 45-minute sessions for the core explanation and W1–W5 only. The main plan uses three sessions; schedule further time for the complete investigation, project, visual journey and any code examples. An </w:t>
      </w:r>
      <w:r>
        <w:rPr>
          <w:b/>
        </w:rPr>
        <w:t>experimental unit</w:t>
      </w:r>
      <w:r>
        <w:rPr>
          <w:b w:val="0"/>
        </w:rPr>
        <w:t xml:space="preserve"> is the entity assigned a treatment in the study design. Name sampling units and measurement units separately; repeated measurements from one unit may be related. Use the supplied constructed scenarios to make the </w:t>
      </w:r>
      <w:r>
        <w:rPr>
          <w:b/>
        </w:rPr>
        <w:t>mechanism</w:t>
      </w:r>
      <w:r>
        <w:rPr>
          <w:b w:val="0"/>
        </w:rPr>
        <w:t xml:space="preserve"> inspectable. Collect W4 before sharing solutions. 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w:t>
      </w:r>
      <w:r>
        <w:rPr>
          <w:b/>
        </w:rPr>
        <w:t>experimental unit</w:t>
      </w:r>
      <w:r>
        <w:rPr>
          <w:b w:val="0"/>
        </w:rPr>
        <w:t>s and independence</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unit definitions, repeated observations and group-disjoint evaluation</w:t>
      </w:r>
    </w:p>
    <w:p>
      <w:r>
        <w:t>Keep treatment assignment, query comparison contexts and sampled plant identities distinct.</w:t>
      </w:r>
    </w:p>
    <w:p>
      <w:pPr>
        <w:pStyle w:val="Heading2"/>
      </w:pPr>
      <w:r>
        <w:t>Definitions and complete fictional unit contract</w:t>
      </w:r>
    </w:p>
    <w:p>
      <w:pPr>
        <w:spacing w:line="336" w:lineRule="auto" w:after="180"/>
      </w:pPr>
      <w:r>
        <w:rPr>
          <w:b w:val="0"/>
        </w:rPr>
        <w:t xml:space="preserve">An </w:t>
      </w:r>
      <w:r>
        <w:rPr>
          <w:b/>
        </w:rPr>
        <w:t>experimental unit</w:t>
      </w:r>
      <w:r>
        <w:rPr>
          <w:b w:val="0"/>
        </w:rPr>
        <w:t xml:space="preserve"> is the entity assigned a treatment in the study design. Name sampling units and measurement units separately; repeated measurements from one unit may be related.</w:t>
      </w:r>
    </w:p>
    <w:p>
      <w:pPr>
        <w:spacing w:line="336" w:lineRule="auto" w:after="180"/>
      </w:pPr>
      <w:r>
        <w:rPr>
          <w:b w:val="0"/>
        </w:rPr>
        <w:t>If methods are compared within each query, queries are paired units. Repeated runs within a query estimate run variation but do not increase the number of independent query contexts.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Unit/design item</w:t>
            </w:r>
          </w:p>
        </w:tc>
        <w:tc>
          <w:tcPr>
            <w:tcW w:type="dxa" w:w="5112"/>
          </w:tcPr>
          <w:p>
            <w:r>
              <w:t>Complete fictional lesson rule</w:t>
            </w:r>
          </w:p>
        </w:tc>
      </w:tr>
      <w:tr>
        <w:tc>
          <w:tcPr>
            <w:tcW w:type="dxa" w:w="5112"/>
          </w:tcPr>
          <w:p>
            <w:r>
              <w:t>Experimental unit</w:t>
            </w:r>
          </w:p>
        </w:tc>
        <w:tc>
          <w:tcPr>
            <w:tcW w:type="dxa" w:w="5112"/>
          </w:tcPr>
          <w:p>
            <w:r>
              <w:t>Entity assigned a treatment in the design; do not automatically equate it with each measurement</w:t>
            </w:r>
          </w:p>
        </w:tc>
      </w:tr>
      <w:tr>
        <w:tc>
          <w:tcPr>
            <w:tcW w:type="dxa" w:w="5112"/>
          </w:tcPr>
          <w:p>
            <w:r>
              <w:t>Sampling/measurement unit</w:t>
            </w:r>
          </w:p>
        </w:tc>
        <w:tc>
          <w:tcPr>
            <w:tcW w:type="dxa" w:w="5112"/>
          </w:tcPr>
          <w:p>
            <w:r>
              <w:t>Name separately according to how entities enter the study and observations are collected</w:t>
            </w:r>
          </w:p>
        </w:tc>
      </w:tr>
      <w:tr>
        <w:tc>
          <w:tcPr>
            <w:tcW w:type="dxa" w:w="5112"/>
          </w:tcPr>
          <w:p>
            <w:r>
              <w:t>Main repeated-query case</w:t>
            </w:r>
          </w:p>
        </w:tc>
        <w:tc>
          <w:tcPr>
            <w:tcW w:type="dxa" w:w="5112"/>
          </w:tcPr>
          <w:p>
            <w:r>
              <w:t>Q1, Q2, Q3 each have four run records:12 measurements across 3 query contexts</w:t>
            </w:r>
          </w:p>
        </w:tc>
      </w:tr>
      <w:tr>
        <w:tc>
          <w:tcPr>
            <w:tcW w:type="dxa" w:w="5112"/>
          </w:tcPr>
          <w:p>
            <w:r>
              <w:t>Paired A/B comparison</w:t>
            </w:r>
          </w:p>
        </w:tc>
        <w:tc>
          <w:tcPr>
            <w:tcW w:type="dxa" w:w="5112"/>
          </w:tcPr>
          <w:p>
            <w:r>
              <w:t>Match each query across methods; actual assignment/randomization design must still be stated</w:t>
            </w:r>
          </w:p>
        </w:tc>
      </w:tr>
      <w:tr>
        <w:tc>
          <w:tcPr>
            <w:tcW w:type="dxa" w:w="5112"/>
          </w:tcPr>
          <w:p>
            <w:r>
              <w:t>Picture plant dataset</w:t>
            </w:r>
          </w:p>
        </w:tc>
        <w:tc>
          <w:tcPr>
            <w:tcW w:type="dxa" w:w="5112"/>
          </w:tcPr>
          <w:p>
            <w:r>
              <w:t>P1–P4 each generate three view records:12 photos, 4 plant IDs</w:t>
            </w:r>
          </w:p>
        </w:tc>
      </w:tr>
      <w:tr>
        <w:tc>
          <w:tcPr>
            <w:tcW w:type="dxa" w:w="5112"/>
          </w:tcPr>
          <w:p>
            <w:r>
              <w:t>Intended picture use</w:t>
            </w:r>
          </w:p>
        </w:tc>
        <w:tc>
          <w:tcPr>
            <w:tcW w:type="dxa" w:w="5112"/>
          </w:tcPr>
          <w:p>
            <w:r>
              <w:t>Assess new-plant behavior, so a plant ID cannot occur in both training and evaluation</w:t>
            </w:r>
          </w:p>
        </w:tc>
      </w:tr>
      <w:tr>
        <w:tc>
          <w:tcPr>
            <w:tcW w:type="dxa" w:w="5112"/>
          </w:tcPr>
          <w:p>
            <w:r>
              <w:t>Declared split</w:t>
            </w:r>
          </w:p>
        </w:tc>
        <w:tc>
          <w:tcPr>
            <w:tcW w:type="dxa" w:w="5112"/>
          </w:tcPr>
          <w:p>
            <w:r>
              <w:t>Train all P1/P2 views; evaluate all P3/P4 views:6 photos in each</w:t>
            </w:r>
          </w:p>
        </w:tc>
      </w:tr>
      <w:tr>
        <w:tc>
          <w:tcPr>
            <w:tcW w:type="dxa" w:w="5112"/>
          </w:tcPr>
          <w:p>
            <w:r>
              <w:t>Independence limit</w:t>
            </w:r>
          </w:p>
        </w:tc>
        <w:tc>
          <w:tcPr>
            <w:tcW w:type="dxa" w:w="5112"/>
          </w:tcPr>
          <w:p>
            <w:r>
              <w:t>Neither distinct IDs nor this group-disjoint split proves statistically independent sampling</w:t>
            </w:r>
          </w:p>
        </w:tc>
      </w:tr>
      <w:tr>
        <w:tc>
          <w:tcPr>
            <w:tcW w:type="dxa" w:w="5112"/>
          </w:tcPr>
          <w:p>
            <w:r>
              <w:t>Scope</w:t>
            </w:r>
          </w:p>
        </w:tc>
        <w:tc>
          <w:tcPr>
            <w:tcW w:type="dxa" w:w="5112"/>
          </w:tcPr>
          <w:p>
            <w:r>
              <w:t>Synthetic metadata only: no actual images, model training, classroom assignment or student response collection</w:t>
            </w:r>
          </w:p>
        </w:tc>
      </w:tr>
    </w:tbl>
    <w:p>
      <w:pPr>
        <w:pStyle w:val="Heading2"/>
      </w:pPr>
      <w:r>
        <w:t>Main count ledger and checked reasoning</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Main query context</w:t>
            </w:r>
          </w:p>
        </w:tc>
        <w:tc>
          <w:tcPr>
            <w:tcW w:type="dxa" w:w="2556"/>
          </w:tcPr>
          <w:p>
            <w:r>
              <w:t>Recorded runs</w:t>
            </w:r>
          </w:p>
        </w:tc>
        <w:tc>
          <w:tcPr>
            <w:tcW w:type="dxa" w:w="2556"/>
          </w:tcPr>
          <w:p>
            <w:r>
              <w:t>Measurements added</w:t>
            </w:r>
          </w:p>
        </w:tc>
        <w:tc>
          <w:tcPr>
            <w:tcW w:type="dxa" w:w="2556"/>
          </w:tcPr>
          <w:p>
            <w:r>
              <w:t>Distinct context count</w:t>
            </w:r>
          </w:p>
        </w:tc>
      </w:tr>
      <w:tr>
        <w:tc>
          <w:tcPr>
            <w:tcW w:type="dxa" w:w="2556"/>
          </w:tcPr>
          <w:p>
            <w:r>
              <w:t>Q1</w:t>
            </w:r>
          </w:p>
        </w:tc>
        <w:tc>
          <w:tcPr>
            <w:tcW w:type="dxa" w:w="2556"/>
          </w:tcPr>
          <w:p>
            <w:r>
              <w:t>Runs 1–4</w:t>
            </w:r>
          </w:p>
        </w:tc>
        <w:tc>
          <w:tcPr>
            <w:tcW w:type="dxa" w:w="2556"/>
          </w:tcPr>
          <w:p>
            <w:r>
              <w:t>4</w:t>
            </w:r>
          </w:p>
        </w:tc>
        <w:tc>
          <w:tcPr>
            <w:tcW w:type="dxa" w:w="2556"/>
          </w:tcPr>
          <w:p>
            <w:r>
              <w:t>1</w:t>
            </w:r>
          </w:p>
        </w:tc>
      </w:tr>
      <w:tr>
        <w:tc>
          <w:tcPr>
            <w:tcW w:type="dxa" w:w="2556"/>
          </w:tcPr>
          <w:p>
            <w:r>
              <w:t>Q2</w:t>
            </w:r>
          </w:p>
        </w:tc>
        <w:tc>
          <w:tcPr>
            <w:tcW w:type="dxa" w:w="2556"/>
          </w:tcPr>
          <w:p>
            <w:r>
              <w:t>Runs 1–4</w:t>
            </w:r>
          </w:p>
        </w:tc>
        <w:tc>
          <w:tcPr>
            <w:tcW w:type="dxa" w:w="2556"/>
          </w:tcPr>
          <w:p>
            <w:r>
              <w:t>4</w:t>
            </w:r>
          </w:p>
        </w:tc>
        <w:tc>
          <w:tcPr>
            <w:tcW w:type="dxa" w:w="2556"/>
          </w:tcPr>
          <w:p>
            <w:r>
              <w:t>1</w:t>
            </w:r>
          </w:p>
        </w:tc>
      </w:tr>
      <w:tr>
        <w:tc>
          <w:tcPr>
            <w:tcW w:type="dxa" w:w="2556"/>
          </w:tcPr>
          <w:p>
            <w:r>
              <w:t>Q3</w:t>
            </w:r>
          </w:p>
        </w:tc>
        <w:tc>
          <w:tcPr>
            <w:tcW w:type="dxa" w:w="2556"/>
          </w:tcPr>
          <w:p>
            <w:r>
              <w:t>Runs 1–4</w:t>
            </w:r>
          </w:p>
        </w:tc>
        <w:tc>
          <w:tcPr>
            <w:tcW w:type="dxa" w:w="2556"/>
          </w:tcPr>
          <w:p>
            <w:r>
              <w:t>4</w:t>
            </w:r>
          </w:p>
        </w:tc>
        <w:tc>
          <w:tcPr>
            <w:tcW w:type="dxa" w:w="2556"/>
          </w:tcPr>
          <w:p>
            <w:r>
              <w:t>1</w:t>
            </w:r>
          </w:p>
        </w:tc>
      </w:tr>
      <w:tr>
        <w:tc>
          <w:tcPr>
            <w:tcW w:type="dxa" w:w="2556"/>
          </w:tcPr>
          <w:p>
            <w:r>
              <w:t>Total</w:t>
            </w:r>
          </w:p>
        </w:tc>
        <w:tc>
          <w:tcPr>
            <w:tcW w:type="dxa" w:w="2556"/>
          </w:tcPr>
          <w:p>
            <w:r>
              <w:t>Three groups of four</w:t>
            </w:r>
          </w:p>
        </w:tc>
        <w:tc>
          <w:tcPr>
            <w:tcW w:type="dxa" w:w="2556"/>
          </w:tcPr>
          <w:p>
            <w:r>
              <w:t>12</w:t>
            </w:r>
          </w:p>
        </w:tc>
        <w:tc>
          <w:tcPr>
            <w:tcW w:type="dxa" w:w="2556"/>
          </w:tcPr>
          <w:p>
            <w:r>
              <w:t>3</w:t>
            </w:r>
          </w:p>
        </w:tc>
      </w:tr>
      <w:tr>
        <w:tc>
          <w:tcPr>
            <w:tcW w:type="dxa" w:w="2556"/>
          </w:tcPr>
          <w:p>
            <w:r>
              <w:t>Claim of 12 independent queries</w:t>
            </w:r>
          </w:p>
        </w:tc>
        <w:tc>
          <w:tcPr>
            <w:tcW w:type="dxa" w:w="2556"/>
          </w:tcPr>
          <w:p>
            <w:r>
              <w:t>Confuses repeated observations with contexts</w:t>
            </w:r>
          </w:p>
        </w:tc>
        <w:tc>
          <w:tcPr>
            <w:tcW w:type="dxa" w:w="2556"/>
          </w:tcPr>
          <w:p>
            <w:r>
              <w:t>Unsupported</w:t>
            </w:r>
          </w:p>
        </w:tc>
        <w:tc>
          <w:tcPr>
            <w:tcW w:type="dxa" w:w="2556"/>
          </w:tcPr>
          <w:p>
            <w:r>
              <w:t>Dependence/design assumptions still need stating</w:t>
            </w:r>
          </w:p>
        </w:tc>
      </w:tr>
      <w:tr>
        <w:tc>
          <w:tcPr>
            <w:tcW w:type="dxa" w:w="2556"/>
          </w:tcPr>
          <w:p>
            <w:r>
              <w:t>Paired-method extension</w:t>
            </w:r>
          </w:p>
        </w:tc>
        <w:tc>
          <w:tcPr>
            <w:tcW w:type="dxa" w:w="2556"/>
          </w:tcPr>
          <w:p>
            <w:r>
              <w:t>Match A/B on each query</w:t>
            </w:r>
          </w:p>
        </w:tc>
        <w:tc>
          <w:tcPr>
            <w:tcW w:type="dxa" w:w="2556"/>
          </w:tcPr>
          <w:p>
            <w:r>
              <w:t>Do not invent how many records per method were supplied</w:t>
            </w:r>
          </w:p>
        </w:tc>
        <w:tc>
          <w:tcPr>
            <w:tcW w:type="dxa" w:w="2556"/>
          </w:tcPr>
          <w:p>
            <w:r>
              <w:t>Query context remains grouping for that comparison</w:t>
            </w:r>
          </w:p>
        </w:tc>
      </w:tr>
    </w:tbl>
    <w:p>
      <w:pPr>
        <w:spacing w:line="336" w:lineRule="auto" w:after="180"/>
      </w:pPr>
      <w:r>
        <w:rPr>
          <w:b w:val="0"/>
        </w:rPr>
        <w:t>An experimental unit receives the treatment; name sampling and measurement units separately. Main: three query contexts with four runs each give twelve measurements, not twelve independent queries. Picture: four plant objects with three views each give twelve photos. Training on P1/P2 and evaluating P3/P4 gives six views per split.</w:t>
      </w:r>
    </w:p>
    <w:p>
      <w:pPr>
        <w:spacing w:line="336" w:lineRule="auto" w:after="180"/>
      </w:pPr>
      <w:r>
        <w:rPr>
          <w:b w:val="0"/>
        </w:rPr>
        <w:t>Moving P1-v1 across leaves five training views, seven evaluation views and shared P1, so the new-plant split fails. Disjoint IDs do not prove independent sampling or broad generalization. Selected case: five classroom-level assignments produce one hundred student measurements clustered within those classrooms. The individual responses are not one hundred independent assignments.</w:t>
      </w:r>
    </w:p>
    <w:p>
      <w:pPr>
        <w:spacing w:line="336" w:lineRule="auto" w:after="180"/>
      </w:pPr>
      <w:r>
        <w:rPr>
          <w:b w:val="0"/>
        </w:rPr>
        <w:t>All records are fictional metadata, not an actual student study.</w:t>
      </w:r>
    </w:p>
    <w:p>
      <w:pPr>
        <w:pStyle w:val="Heading3"/>
      </w:pPr>
      <w:r>
        <w:t>Experimental units and independence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Three queries each run four times produce 12 outputs.</w:t>
            </w:r>
          </w:p>
        </w:tc>
        <w:tc>
          <w:tcPr>
            <w:tcW w:type="dxa" w:w="3408"/>
          </w:tcPr>
          <w:p>
            <w:r>
              <w:t>If methods are compared within each query, queries are paired units. Repeated runs within a query estimate run variation but do not increase the number of independent query contexts.</w:t>
            </w:r>
          </w:p>
        </w:tc>
        <w:tc>
          <w:tcPr>
            <w:tcW w:type="dxa" w:w="3408"/>
          </w:tcPr>
          <w:p>
            <w:r>
              <w:t>There are three query units and 12 run measurements. Do not analyse them as 12 independent queries.</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Guided: There are three query units and 12 run measurements. Do not analyse them as 12 independent queries. Qualification: Independence follows design and relationships, not row count. 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spacing w:line="336" w:lineRule="auto" w:after="180"/>
      </w:pPr>
      <w:r>
        <w:rPr>
          <w:b w:val="0"/>
        </w:rPr>
        <w:t xml:space="preserve">Three queries each run four times produce 12 </w:t>
      </w:r>
      <w:r>
        <w:rPr>
          <w:b/>
        </w:rPr>
        <w:t>output</w:t>
      </w:r>
      <w:r>
        <w:rPr>
          <w:b w:val="0"/>
        </w:rPr>
        <w:t>s.</w:t>
      </w:r>
    </w:p>
    <w:p>
      <w:pPr>
        <w:spacing w:line="336" w:lineRule="auto" w:after="180"/>
      </w:pPr>
      <w:r>
        <w:rPr>
          <w:b w:val="0"/>
        </w:rPr>
        <w:t>There are three query units and 12 run measurements. Do not analyse them as 12 independent queries.</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2"/>
      </w:pPr>
      <w:r>
        <w:t>Identity, leakage and independence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Unit/independence probe</w:t>
            </w:r>
          </w:p>
        </w:tc>
        <w:tc>
          <w:tcPr>
            <w:tcW w:type="dxa" w:w="5112"/>
          </w:tcPr>
          <w:p>
            <w:r>
              <w:t>Expected interpretation</w:t>
            </w:r>
          </w:p>
        </w:tc>
      </w:tr>
      <w:tr>
        <w:tc>
          <w:tcPr>
            <w:tcW w:type="dxa" w:w="5112"/>
          </w:tcPr>
          <w:p>
            <w:r>
              <w:t>Four runs for one query</w:t>
            </w:r>
          </w:p>
        </w:tc>
        <w:tc>
          <w:tcPr>
            <w:tcW w:type="dxa" w:w="5112"/>
          </w:tcPr>
          <w:p>
            <w:r>
              <w:t>Four measurements, one query context</w:t>
            </w:r>
          </w:p>
        </w:tc>
      </w:tr>
      <w:tr>
        <w:tc>
          <w:tcPr>
            <w:tcW w:type="dxa" w:w="5112"/>
          </w:tcPr>
          <w:p>
            <w:r>
              <w:t>Three views of one plant</w:t>
            </w:r>
          </w:p>
        </w:tc>
        <w:tc>
          <w:tcPr>
            <w:tcW w:type="dxa" w:w="5112"/>
          </w:tcPr>
          <w:p>
            <w:r>
              <w:t>Three photos, one plant identity</w:t>
            </w:r>
          </w:p>
        </w:tc>
      </w:tr>
      <w:tr>
        <w:tc>
          <w:tcPr>
            <w:tcW w:type="dxa" w:w="5112"/>
          </w:tcPr>
          <w:p>
            <w:r>
              <w:t>Distinct filenames for the same plant</w:t>
            </w:r>
          </w:p>
        </w:tc>
        <w:tc>
          <w:tcPr>
            <w:tcW w:type="dxa" w:w="5112"/>
          </w:tcPr>
          <w:p>
            <w:r>
              <w:t>Do not establish independent plant samples</w:t>
            </w:r>
          </w:p>
        </w:tc>
      </w:tr>
      <w:tr>
        <w:tc>
          <w:tcPr>
            <w:tcW w:type="dxa" w:w="5112"/>
          </w:tcPr>
          <w:p>
            <w:r>
              <w:t>No plant ID shared across splits</w:t>
            </w:r>
          </w:p>
        </w:tc>
        <w:tc>
          <w:tcPr>
            <w:tcW w:type="dxa" w:w="5112"/>
          </w:tcPr>
          <w:p>
            <w:r>
              <w:t>Passes that group-disjointness check only</w:t>
            </w:r>
          </w:p>
        </w:tc>
      </w:tr>
      <w:tr>
        <w:tc>
          <w:tcPr>
            <w:tcW w:type="dxa" w:w="5112"/>
          </w:tcPr>
          <w:p>
            <w:r>
              <w:t>Same plant spans train/evaluation</w:t>
            </w:r>
          </w:p>
        </w:tc>
        <w:tc>
          <w:tcPr>
            <w:tcW w:type="dxa" w:w="5112"/>
          </w:tcPr>
          <w:p>
            <w:r>
              <w:t>Leaks object identity for the declared new-plant goal</w:t>
            </w:r>
          </w:p>
        </w:tc>
      </w:tr>
      <w:tr>
        <w:tc>
          <w:tcPr>
            <w:tcW w:type="dxa" w:w="5112"/>
          </w:tcPr>
          <w:p>
            <w:r>
              <w:t>Independent treatment applied to whole groups</w:t>
            </w:r>
          </w:p>
        </w:tc>
        <w:tc>
          <w:tcPr>
            <w:tcW w:type="dxa" w:w="5112"/>
          </w:tcPr>
          <w:p>
            <w:r>
              <w:t>Assignment units are groups; measurements within them remain clustered</w:t>
            </w:r>
          </w:p>
        </w:tc>
      </w:tr>
      <w:tr>
        <w:tc>
          <w:tcPr>
            <w:tcW w:type="dxa" w:w="5112"/>
          </w:tcPr>
          <w:p>
            <w:r>
              <w:t>Query method comparison within each context</w:t>
            </w:r>
          </w:p>
        </w:tc>
        <w:tc>
          <w:tcPr>
            <w:tcW w:type="dxa" w:w="5112"/>
          </w:tcPr>
          <w:p>
            <w:r>
              <w:t>Preserve pairing; actual randomization/sampling still needs specification</w:t>
            </w:r>
          </w:p>
        </w:tc>
      </w:tr>
      <w:tr>
        <w:tc>
          <w:tcPr>
            <w:tcW w:type="dxa" w:w="5112"/>
          </w:tcPr>
          <w:p>
            <w:r>
              <w:t>A more balanced photo count</w:t>
            </w:r>
          </w:p>
        </w:tc>
        <w:tc>
          <w:tcPr>
            <w:tcW w:type="dxa" w:w="5112"/>
          </w:tcPr>
          <w:p>
            <w:r>
              <w:t>Cannot repair shared plant identity by itself</w:t>
            </w:r>
          </w:p>
        </w:tc>
      </w:tr>
      <w:tr>
        <w:tc>
          <w:tcPr>
            <w:tcW w:type="dxa" w:w="5112"/>
          </w:tcPr>
          <w:p>
            <w:r>
              <w:t>Group-correct tiny dataset</w:t>
            </w:r>
          </w:p>
        </w:tc>
        <w:tc>
          <w:tcPr>
            <w:tcW w:type="dxa" w:w="5112"/>
          </w:tcPr>
          <w:p>
            <w:r>
              <w:t>No broad new-plant reliability or population independence guarantee</w:t>
            </w:r>
          </w:p>
        </w:tc>
      </w:tr>
    </w:tbl>
    <w:p>
      <w:pPr>
        <w:pStyle w:val="Heading2"/>
      </w:pPr>
      <w:r>
        <w:t>Separate plant grouping, native diagram and complete split counts</w:t>
      </w:r>
    </w:p>
    <w:p>
      <w:pPr>
        <w:spacing w:line="336" w:lineRule="auto" w:after="180"/>
      </w:pPr>
      <w:r>
        <w:rPr>
          <w:b w:val="0"/>
        </w:rPr>
        <w:t>Photos are not always independent plants. A dataset has twelve photos: three views of each of four plants. The intended use is identifying new plants.</w:t>
      </w:r>
    </w:p>
    <w:p>
      <w:pPr>
        <w:spacing w:line="336" w:lineRule="auto" w:after="180"/>
      </w:pPr>
      <w:r>
        <w:rPr>
          <w:b w:val="0"/>
        </w:rPr>
        <w:t>Plant IDs P1–P4 each have three views. All views of a plant must stay in one split.</w:t>
      </w:r>
    </w:p>
    <w:p>
      <w:pPr>
        <w:spacing w:line="336" w:lineRule="auto" w:after="180"/>
      </w:pPr>
      <w:r>
        <w:rPr>
          <w:b w:val="0"/>
        </w:rPr>
        <w:t>The picture is a separate plant-ID dataset. Four plant objects P1–P4 each have three views. For a new-plant goal, put all P1/P2 views in training and P3/P4 in evaluation:6 photos/2 plants in each, no shared plant IDs. Move P1-v1 to evaluation while P1-v2/v3 remain in training, and P1 now spans both sets.</w:t>
      </w:r>
    </w:p>
    <w:p>
      <w:pPr>
        <w:spacing w:line="336" w:lineRule="auto" w:after="180"/>
      </w:pPr>
      <w:r>
        <w:rPr>
          <w:b w:val="0"/>
        </w:rPr>
        <w:t>Counts become 5 training views and 7 evaluation views, but the main problem is shared object identity, not unequal split sizes. This is leakage for the declared new-plant goal. Four distinct plants may still share environmental/sampling dependencies; the metadata split alone cannot establish independence or broad coverage.</w:t>
      </w:r>
    </w:p>
    <w:p>
      <w:r>
        <w:drawing>
          <wp:inline xmlns:a="http://schemas.openxmlformats.org/drawingml/2006/main" xmlns:pic="http://schemas.openxmlformats.org/drawingml/2006/picture">
            <wp:extent cx="5161935" cy="3200400"/>
            <wp:docPr id="1" name="Picture 1" descr="Four distinct plant IDs each have three views. Training contains all three views of P1 and P2; evaluation contains all three views of P3 and P4. Each split has six views and no shared plant ID. Independence still requires a justified study design."/>
            <wp:cNvGraphicFramePr>
              <a:graphicFrameLocks noChangeAspect="1"/>
            </wp:cNvGraphicFramePr>
            <a:graphic>
              <a:graphicData uri="http://schemas.openxmlformats.org/drawingml/2006/picture">
                <pic:pic>
                  <pic:nvPicPr>
                    <pic:cNvPr id="0" name="ai-7-09-plant-group-split.png"/>
                    <pic:cNvPicPr/>
                  </pic:nvPicPr>
                  <pic:blipFill>
                    <a:blip r:embed="rId9"/>
                    <a:stretch>
                      <a:fillRect/>
                    </a:stretch>
                  </pic:blipFill>
                  <pic:spPr>
                    <a:xfrm>
                      <a:off x="0" y="0"/>
                      <a:ext cx="5161935" cy="3200400"/>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Separate picture state</w:t>
            </w:r>
          </w:p>
        </w:tc>
        <w:tc>
          <w:tcPr>
            <w:tcW w:type="dxa" w:w="2556"/>
          </w:tcPr>
          <w:p>
            <w:r>
              <w:t>Training</w:t>
            </w:r>
          </w:p>
        </w:tc>
        <w:tc>
          <w:tcPr>
            <w:tcW w:type="dxa" w:w="2556"/>
          </w:tcPr>
          <w:p>
            <w:r>
              <w:t>Evaluation</w:t>
            </w:r>
          </w:p>
        </w:tc>
        <w:tc>
          <w:tcPr>
            <w:tcW w:type="dxa" w:w="2556"/>
          </w:tcPr>
          <w:p>
            <w:r>
              <w:t>Shared plant IDs</w:t>
            </w:r>
          </w:p>
        </w:tc>
      </w:tr>
      <w:tr>
        <w:tc>
          <w:tcPr>
            <w:tcW w:type="dxa" w:w="2556"/>
          </w:tcPr>
          <w:p>
            <w:r>
              <w:t>Group-correct split</w:t>
            </w:r>
          </w:p>
        </w:tc>
        <w:tc>
          <w:tcPr>
            <w:tcW w:type="dxa" w:w="2556"/>
          </w:tcPr>
          <w:p>
            <w:r>
              <w:t>P1/P2:6 views</w:t>
            </w:r>
          </w:p>
        </w:tc>
        <w:tc>
          <w:tcPr>
            <w:tcW w:type="dxa" w:w="2556"/>
          </w:tcPr>
          <w:p>
            <w:r>
              <w:t>P3/P4:6 views</w:t>
            </w:r>
          </w:p>
        </w:tc>
        <w:tc>
          <w:tcPr>
            <w:tcW w:type="dxa" w:w="2556"/>
          </w:tcPr>
          <w:p>
            <w:r>
              <w:t>None</w:t>
            </w:r>
          </w:p>
        </w:tc>
      </w:tr>
      <w:tr>
        <w:tc>
          <w:tcPr>
            <w:tcW w:type="dxa" w:w="2556"/>
          </w:tcPr>
          <w:p>
            <w:r>
              <w:t>Move P1-v1 to evaluation</w:t>
            </w:r>
          </w:p>
        </w:tc>
        <w:tc>
          <w:tcPr>
            <w:tcW w:type="dxa" w:w="2556"/>
          </w:tcPr>
          <w:p>
            <w:r>
              <w:t>P1/P2:5 views</w:t>
            </w:r>
          </w:p>
        </w:tc>
        <w:tc>
          <w:tcPr>
            <w:tcW w:type="dxa" w:w="2556"/>
          </w:tcPr>
          <w:p>
            <w:r>
              <w:t>P1/P3/P4:7 views</w:t>
            </w:r>
          </w:p>
        </w:tc>
        <w:tc>
          <w:tcPr>
            <w:tcW w:type="dxa" w:w="2556"/>
          </w:tcPr>
          <w:p>
            <w:r>
              <w:t>P1</w:t>
            </w:r>
          </w:p>
        </w:tc>
      </w:tr>
      <w:tr>
        <w:tc>
          <w:tcPr>
            <w:tcW w:type="dxa" w:w="2556"/>
          </w:tcPr>
          <w:p>
            <w:r>
              <w:t>Across either complete dataset</w:t>
            </w:r>
          </w:p>
        </w:tc>
        <w:tc>
          <w:tcPr>
            <w:tcW w:type="dxa" w:w="2556"/>
          </w:tcPr>
          <w:p>
            <w:r>
              <w:t>12 total view records</w:t>
            </w:r>
          </w:p>
        </w:tc>
        <w:tc>
          <w:tcPr>
            <w:tcW w:type="dxa" w:w="2556"/>
          </w:tcPr>
          <w:p>
            <w:r>
              <w:t>4 distinct plant IDs</w:t>
            </w:r>
          </w:p>
        </w:tc>
        <w:tc>
          <w:tcPr>
            <w:tcW w:type="dxa" w:w="2556"/>
          </w:tcPr>
          <w:p>
            <w:r>
              <w:t>Counts alone do not establish independence</w:t>
            </w:r>
          </w:p>
        </w:tc>
      </w:tr>
      <w:tr>
        <w:tc>
          <w:tcPr>
            <w:tcW w:type="dxa" w:w="2556"/>
          </w:tcPr>
          <w:p>
            <w:r>
              <w:t>Interpretation</w:t>
            </w:r>
          </w:p>
        </w:tc>
        <w:tc>
          <w:tcPr>
            <w:tcW w:type="dxa" w:w="2556"/>
          </w:tcPr>
          <w:p>
            <w:r>
              <w:t>Whole-plant grouping protects this split boundary</w:t>
            </w:r>
          </w:p>
        </w:tc>
        <w:tc>
          <w:tcPr>
            <w:tcW w:type="dxa" w:w="2556"/>
          </w:tcPr>
          <w:p>
            <w:r>
              <w:t>Four plants offer limited population coverage</w:t>
            </w:r>
          </w:p>
        </w:tc>
        <w:tc>
          <w:tcPr>
            <w:tcW w:type="dxa" w:w="2556"/>
          </w:tcPr>
          <w:p>
            <w:r>
              <w:t>No classifier performance is measured</w:t>
            </w:r>
          </w:p>
        </w:tc>
      </w:tr>
    </w:tbl>
    <w:p>
      <w:pPr>
        <w:pStyle w:val="Heading2"/>
      </w:pPr>
      <w:r>
        <w:t>Picture trace and shared-P1 key</w:t>
      </w:r>
    </w:p>
    <w:p>
      <w:r>
        <w:drawing>
          <wp:inline xmlns:a="http://schemas.openxmlformats.org/drawingml/2006/main" xmlns:pic="http://schemas.openxmlformats.org/drawingml/2006/picture">
            <wp:extent cx="5486400" cy="3182112"/>
            <wp:docPr id="2" name="Picture 2" descr="Identify the unit: Four plants, not twelve independent plants, generated the observations. → Group before splitting: Assign whole plant IDs to training or evaluation. → Trace a valid split: Train on P1,P2 and evaluate on P3,P4: six photos per split."/>
            <wp:cNvGraphicFramePr>
              <a:graphicFrameLocks noChangeAspect="1"/>
            </wp:cNvGraphicFramePr>
            <a:graphic>
              <a:graphicData uri="http://schemas.openxmlformats.org/drawingml/2006/picture">
                <pic:pic>
                  <pic:nvPicPr>
                    <pic:cNvPr id="0" name="academy-story-ai-7-9-02.png"/>
                    <pic:cNvPicPr/>
                  </pic:nvPicPr>
                  <pic:blipFill>
                    <a:blip r:embed="rId10"/>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Identify the unit</w:t>
            </w:r>
          </w:p>
        </w:tc>
        <w:tc>
          <w:tcPr>
            <w:tcW w:type="dxa" w:w="5112"/>
          </w:tcPr>
          <w:p>
            <w:r>
              <w:t>Four plants, not twelve independent plants, generated the observations.</w:t>
            </w:r>
          </w:p>
        </w:tc>
      </w:tr>
      <w:tr>
        <w:tc>
          <w:tcPr>
            <w:tcW w:type="dxa" w:w="5112"/>
          </w:tcPr>
          <w:p>
            <w:r>
              <w:t>2. Group before splitting</w:t>
            </w:r>
          </w:p>
        </w:tc>
        <w:tc>
          <w:tcPr>
            <w:tcW w:type="dxa" w:w="5112"/>
          </w:tcPr>
          <w:p>
            <w:r>
              <w:t>Assign whole plant IDs to training or evaluation.</w:t>
            </w:r>
          </w:p>
        </w:tc>
      </w:tr>
      <w:tr>
        <w:tc>
          <w:tcPr>
            <w:tcW w:type="dxa" w:w="5112"/>
          </w:tcPr>
          <w:p>
            <w:r>
              <w:t>3. Trace a valid split</w:t>
            </w:r>
          </w:p>
        </w:tc>
        <w:tc>
          <w:tcPr>
            <w:tcW w:type="dxa" w:w="5112"/>
          </w:tcPr>
          <w:p>
            <w:r>
              <w:t>Train on P1,P2 and evaluate on P3,P4: six photos per split.</w:t>
            </w:r>
          </w:p>
        </w:tc>
      </w:tr>
    </w:tbl>
    <w:p>
      <w:r>
        <w:t>Match each pictured step to the supplied facts. This is a worked teaching case, not an independent assessment.</w:t>
      </w:r>
    </w:p>
    <w:p>
      <w:pPr>
        <w:spacing w:line="336" w:lineRule="auto" w:after="180"/>
      </w:pPr>
      <w:r>
        <w:rPr>
          <w:b w:val="0"/>
        </w:rPr>
        <w:t xml:space="preserve">Repeated views from one object share information. Counting them as independent units or scattering them across splits can exaggerate </w:t>
      </w:r>
      <w:r>
        <w:rPr>
          <w:b/>
        </w:rPr>
        <w:t>evidence</w:t>
      </w:r>
      <w:r>
        <w:rPr>
          <w:b w:val="0"/>
        </w:rPr>
        <w:t xml:space="preserve"> for new-object performance.</w:t>
      </w:r>
    </w:p>
    <w:p>
      <w:pPr>
        <w:spacing w:line="336" w:lineRule="auto" w:after="180"/>
      </w:pPr>
      <w:r>
        <w:rPr>
          <w:b w:val="0"/>
        </w:rPr>
        <w:t>Four plants offer little population coverage; even a group-correct split may be too small for broad conclusions.</w:t>
      </w:r>
    </w:p>
    <w:p>
      <w:pPr>
        <w:spacing w:line="336" w:lineRule="auto" w:after="180"/>
      </w:pPr>
      <w:r>
        <w:rPr>
          <w:b w:val="0"/>
        </w:rPr>
        <w:t>Change: Put one P1 view into evaluation while other P1 views train.</w:t>
      </w:r>
    </w:p>
    <w:p>
      <w:pPr>
        <w:spacing w:line="336" w:lineRule="auto" w:after="180"/>
      </w:pPr>
      <w:r>
        <w:rPr>
          <w:b/>
        </w:rPr>
        <w:t>Prediction</w:t>
      </w:r>
      <w:r>
        <w:rPr>
          <w:b w:val="0"/>
        </w:rPr>
        <w:t>: Flag object-level leakage for this new-plant target.</w:t>
      </w:r>
    </w:p>
    <w:p>
      <w:pPr>
        <w:spacing w:line="336" w:lineRule="auto" w:after="180"/>
      </w:pPr>
      <w:r>
        <w:rPr>
          <w:b w:val="0"/>
        </w:rPr>
        <w:t xml:space="preserve">Reason: Evaluation now includes a plant already represented during </w:t>
      </w:r>
      <w:r>
        <w:rPr>
          <w:b/>
        </w:rPr>
        <w:t>training</w:t>
      </w:r>
      <w:r>
        <w:rPr>
          <w:b w:val="0"/>
        </w:rPr>
        <w:t>.</w:t>
      </w:r>
    </w:p>
    <w:p>
      <w:pPr>
        <w:pStyle w:val="Heading2"/>
      </w:pPr>
      <w:r>
        <w:t>Primary definition reference and scope</w:t>
      </w:r>
    </w:p>
    <w:p>
      <w:pPr>
        <w:spacing w:line="336" w:lineRule="auto" w:after="180"/>
      </w:pPr>
      <w:r>
        <w:rPr>
          <w:b w:val="0"/>
        </w:rPr>
        <w:t>Definition reference: NIST/SEMATECH e-Handbook, “A Glossary of DOE Terminology”, https://www.itl.nist.gov/div 898/handbook/pri/section 7/pri 7.htm. Its experimental-unit definition concerns the entity receiving a treatment combination. Use this to avoid silently equating assignment, sampling and measurement entities; no study assignment or statistical analysis is performed here.</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Experimental unit</w:t>
            </w:r>
          </w:p>
        </w:tc>
        <w:tc>
          <w:tcPr>
            <w:tcW w:type="dxa" w:w="5112"/>
          </w:tcPr>
          <w:p>
            <w:r>
              <w:t>The entity independently sampled or assigned</w:t>
            </w:r>
          </w:p>
        </w:tc>
      </w:tr>
      <w:tr>
        <w:tc>
          <w:tcPr>
            <w:tcW w:type="dxa" w:w="5112"/>
          </w:tcPr>
          <w:p>
            <w:r>
              <w:t>Repeated measure</w:t>
            </w:r>
          </w:p>
        </w:tc>
        <w:tc>
          <w:tcPr>
            <w:tcW w:type="dxa" w:w="5112"/>
          </w:tcPr>
          <w:p>
            <w:r>
              <w:t>Another observation on the same unit</w:t>
            </w:r>
          </w:p>
        </w:tc>
      </w:tr>
      <w:tr>
        <w:tc>
          <w:tcPr>
            <w:tcW w:type="dxa" w:w="5112"/>
          </w:tcPr>
          <w:p>
            <w:r>
              <w:t>Clustering</w:t>
            </w:r>
          </w:p>
        </w:tc>
        <w:tc>
          <w:tcPr>
            <w:tcW w:type="dxa" w:w="5112"/>
          </w:tcPr>
          <w:p>
            <w:r>
              <w:t>Related measurements grouped within an entity</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Experimental units and independence</w:t>
      </w:r>
    </w:p>
    <w:p>
      <w:pPr>
        <w:pStyle w:val="Heading3"/>
      </w:pPr>
      <w:r>
        <w:t>The facts we will use</w:t>
      </w:r>
    </w:p>
    <w:p>
      <w:r>
        <w:drawing>
          <wp:inline xmlns:a="http://schemas.openxmlformats.org/drawingml/2006/main" xmlns:pic="http://schemas.openxmlformats.org/drawingml/2006/picture">
            <wp:extent cx="5486400" cy="3077029"/>
            <wp:docPr id="3" name="Picture 3" descr="Keep all views of a plant together"/>
            <wp:cNvGraphicFramePr>
              <a:graphicFrameLocks noChangeAspect="1"/>
            </wp:cNvGraphicFramePr>
            <a:graphic>
              <a:graphicData uri="http://schemas.openxmlformats.org/drawingml/2006/picture">
                <pic:pic>
                  <pic:nvPicPr>
                    <pic:cNvPr id="0" name="academy-detail-ai-7-9.png"/>
                    <pic:cNvPicPr/>
                  </pic:nvPicPr>
                  <pic:blipFill>
                    <a:blip r:embed="rId11"/>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486400" cy="5225143"/>
            <wp:docPr id="4" name="Picture 4" descr="Experimental units and independence. Identify the unit: Four plants, not twelve independent plants, generated the observations.. Group before splitting: Assign whole plant IDs to training or evaluation.. Trace a valid split: Train on P1,P2 and evaluate on P3,P4: six photos per split."/>
            <wp:cNvGraphicFramePr>
              <a:graphicFrameLocks noChangeAspect="1"/>
            </wp:cNvGraphicFramePr>
            <a:graphic>
              <a:graphicData uri="http://schemas.openxmlformats.org/drawingml/2006/picture">
                <pic:pic>
                  <pic:nvPicPr>
                    <pic:cNvPr id="0" name="academy-visual-ai-7-9.png"/>
                    <pic:cNvPicPr/>
                  </pic:nvPicPr>
                  <pic:blipFill>
                    <a:blip r:embed="rId12"/>
                    <a:stretch>
                      <a:fillRect/>
                    </a:stretch>
                  </pic:blipFill>
                  <pic:spPr>
                    <a:xfrm>
                      <a:off x="0" y="0"/>
                      <a:ext cx="5486400" cy="5225143"/>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 xml:space="preserve">Completion task: Three queries each run four times produce 12 </w:t>
      </w:r>
      <w:r>
        <w:rPr>
          <w:b/>
        </w:rPr>
        <w:t>output</w:t>
      </w:r>
      <w:r>
        <w:rPr>
          <w:b w:val="0"/>
        </w:rPr>
        <w:t>s. Show the intermediate steps and give the conclusion with its scope.</w:t>
      </w:r>
    </w:p>
    <w:p>
      <w:pPr>
        <w:spacing w:line="336" w:lineRule="auto" w:after="180"/>
      </w:pPr>
      <w:r>
        <w:rPr>
          <w:b w:val="0"/>
        </w:rPr>
        <w:t>Teacher check: Teacher explanation: There are three query units and 12 run measurements. Do not analyse them as 12 independent queries.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w:t>
      </w:r>
      <w:r>
        <w:rPr>
          <w:b/>
        </w:rPr>
        <w:t>Experimental unit</w:t>
      </w:r>
      <w:r>
        <w:rPr>
          <w:b w:val="0"/>
        </w:rPr>
        <w:t>s and independence.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Independence follows design and relationships, not row count.</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Count distinct plant units and photo views, and state the independence assumption. Construct the stated group-correct split, then explain why placing a P1 view in evaluation creates leakage for the new-plant goal.</w:t>
      </w:r>
    </w:p>
    <w:p>
      <w:pPr>
        <w:spacing w:line="336" w:lineRule="auto" w:after="180"/>
      </w:pPr>
      <w:r>
        <w:rPr>
          <w:b w:val="0"/>
        </w:rPr>
        <w:t xml:space="preserve">Four plants, not twelve independent plants, generated the </w:t>
      </w:r>
      <w:r>
        <w:rPr>
          <w:b/>
        </w:rPr>
        <w:t>observation</w:t>
      </w:r>
      <w:r>
        <w:rPr>
          <w:b w:val="0"/>
        </w:rPr>
        <w:t xml:space="preserve">s. Assign whole plant IDs to </w:t>
      </w:r>
      <w:r>
        <w:rPr>
          <w:b/>
        </w:rPr>
        <w:t>training</w:t>
      </w:r>
      <w:r>
        <w:rPr>
          <w:b w:val="0"/>
        </w:rPr>
        <w:t xml:space="preserve"> or evaluation. Train on P1,P2 and evaluate on P3,P4: six photos per split.</w:t>
      </w:r>
    </w:p>
    <w:p>
      <w:pPr>
        <w:spacing w:line="336" w:lineRule="auto" w:after="180"/>
      </w:pPr>
      <w:r>
        <w:rPr>
          <w:b w:val="0"/>
        </w:rPr>
        <w:t xml:space="preserve">Changed case: Flag object-level leakage for this new-plant target. Evaluation now includes a plant already represented during </w:t>
      </w:r>
      <w:r>
        <w:rPr>
          <w:b/>
        </w:rPr>
        <w:t>training</w:t>
      </w:r>
      <w:r>
        <w:rPr>
          <w:b w:val="0"/>
        </w:rPr>
        <w:t>.</w:t>
      </w:r>
    </w:p>
    <w:p>
      <w:pPr>
        <w:spacing w:line="336" w:lineRule="auto" w:after="180"/>
      </w:pPr>
      <w:r>
        <w:rPr>
          <w:b w:val="0"/>
        </w:rPr>
        <w:t xml:space="preserve">Changed-case reasoning: Flag object-level leakage for this new-plant target. Evaluation now includes a plant already represented during </w:t>
      </w:r>
      <w:r>
        <w:rPr>
          <w:b/>
        </w:rPr>
        <w:t>training</w:t>
      </w:r>
      <w:r>
        <w:rPr>
          <w:b w:val="0"/>
        </w:rPr>
        <w: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See how it works and Words that unlock the idea.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Main: three query contexts generate twelve measurements. Picture: four plant objects generate twelve views. A valid six/six-view split has no shared plant IDs; moving one P1 view gives five/seven and object leakage for the new-plant goal. These checks do not establish independence or model accuracy.</w:t>
      </w:r>
    </w:p>
    <w:p>
      <w:pPr>
        <w:spacing w:line="336" w:lineRule="auto" w:after="180"/>
      </w:pPr>
      <w:r>
        <w:rPr>
          <w:b w:val="0"/>
        </w:rPr>
        <w:t>Selected case: five classroom assignment units generate five times twenty, or one hundred student measurements, clustered within classrooms. They are not one hundred independent assignments. State the design assumptions and do not claim a real student study.</w:t>
      </w:r>
    </w:p>
    <w:p>
      <w:pPr>
        <w:pStyle w:val="Heading2"/>
      </w:pPr>
      <w:r>
        <w:t>Diagnose the current misconceptions</w:t>
      </w:r>
    </w:p>
    <w:p>
      <w:pPr>
        <w:spacing w:line="336" w:lineRule="auto" w:after="180"/>
      </w:pPr>
      <w:r>
        <w:rPr>
          <w:b w:val="0"/>
        </w:rPr>
        <w:t>The worked result establishes every future case: Independence follows design and relationships, not row count.</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research scenario</w:t>
      </w:r>
    </w:p>
    <w:p>
      <w:r>
        <w:t>Keep the selected answer private until after a first attempt.</w:t>
      </w:r>
    </w:p>
    <w:p>
      <w:pPr>
        <w:pStyle w:val="Heading2"/>
      </w:pPr>
      <w:r>
        <w:t>Selected independent task and checked answer</w:t>
      </w:r>
    </w:p>
    <w:p>
      <w:pPr>
        <w:spacing w:line="336" w:lineRule="auto" w:after="180"/>
      </w:pPr>
      <w:r>
        <w:rPr>
          <w:b w:val="0"/>
        </w:rPr>
        <w:t>Selected case: Five classrooms each contribute 20 student responses under a classroom-level assignment. Identify assignment units and measurements.</w:t>
      </w:r>
    </w:p>
    <w:p>
      <w:pPr>
        <w:spacing w:line="336" w:lineRule="auto" w:after="180"/>
      </w:pPr>
      <w:r>
        <w:rPr>
          <w:b w:val="0"/>
        </w:rPr>
        <w:t>Teacher explanation: Five assignment units; 100 student measurements are clustered within them. Treating all 100 as independent assignments is unjustified.</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spacing w:line="336" w:lineRule="auto" w:after="180"/>
      </w:pPr>
      <w:r>
        <w:rPr>
          <w:b w:val="0"/>
        </w:rPr>
        <w:t xml:space="preserve">Teacher explanation: An </w:t>
      </w:r>
      <w:r>
        <w:rPr>
          <w:b/>
        </w:rPr>
        <w:t>experimental unit</w:t>
      </w:r>
      <w:r>
        <w:rPr>
          <w:b w:val="0"/>
        </w:rPr>
        <w:t xml:space="preserve"> is the entity assigned a treatment in the study design. Name sampling units and measurement units separately; repeated measurements from one unit may be related. If methods are compared within each query, queries are paired units. Repeated runs within a query estimate run variation but do not increase the number of independent query contexts.</w:t>
      </w:r>
    </w:p>
    <w:p>
      <w:pPr>
        <w:pStyle w:val="Heading2"/>
      </w:pPr>
      <w:r>
        <w:t>W2 Trace the worked case</w:t>
      </w:r>
    </w:p>
    <w:p>
      <w:pPr>
        <w:spacing w:line="336" w:lineRule="auto" w:after="180"/>
      </w:pPr>
      <w:r>
        <w:rPr>
          <w:b w:val="0"/>
        </w:rPr>
        <w:t xml:space="preserve">Three queries each run four times produce 12 </w:t>
      </w:r>
      <w:r>
        <w:rPr>
          <w:b/>
        </w:rPr>
        <w:t>output</w:t>
      </w:r>
      <w:r>
        <w:rPr>
          <w:b w:val="0"/>
        </w:rPr>
        <w:t>s. Show the intermediate steps and give the conclusion with its scope.</w:t>
      </w:r>
    </w:p>
    <w:p>
      <w:pPr>
        <w:spacing w:line="336" w:lineRule="auto" w:after="180"/>
      </w:pPr>
      <w:r>
        <w:rPr>
          <w:b w:val="0"/>
        </w:rPr>
        <w:t>Teacher explanation: There are three query units and 12 run measurements. Do not analyse them as 12 independent queries.</w:t>
      </w:r>
    </w:p>
    <w:p>
      <w:pPr>
        <w:pStyle w:val="Heading2"/>
      </w:pPr>
      <w:r>
        <w:t>W3 Audit the limit</w:t>
      </w:r>
    </w:p>
    <w:p>
      <w:pPr>
        <w:spacing w:line="336" w:lineRule="auto" w:after="180"/>
      </w:pPr>
      <w:r>
        <w:rPr>
          <w:b w:val="0"/>
        </w:rPr>
        <w:t>A report omits this qualification: Independence follows design and relationships, not row count. Explain how omitting it could change a reader's interpretation, and write an accurate replacement.</w:t>
      </w:r>
    </w:p>
    <w:p>
      <w:pPr>
        <w:spacing w:line="336" w:lineRule="auto" w:after="180"/>
      </w:pPr>
      <w:r>
        <w:rPr>
          <w:b w:val="0"/>
        </w:rPr>
        <w:t>Teacher explanation: Independence follows design and relationships, not row count.</w:t>
      </w:r>
    </w:p>
    <w:p>
      <w:pPr>
        <w:spacing w:line="336" w:lineRule="auto" w:after="180"/>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2"/>
      </w:pPr>
      <w:r>
        <w:t>W5 Design a revealing follow-up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spacing w:line="336" w:lineRule="auto" w:after="180"/>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pPr>
      <w:r>
        <w:rPr>
          <w:b w:val="0"/>
        </w:rPr>
        <w:t xml:space="preserve">Require preserved settings, original </w:t>
      </w:r>
      <w:r>
        <w:rPr>
          <w:b/>
        </w:rPr>
        <w:t>output</w:t>
      </w:r>
      <w:r>
        <w:rPr>
          <w:b w:val="0"/>
        </w:rPr>
        <w:t xml:space="preserve">s and data roles. Independence follows design and relationships, not row count. The new case should test this particular </w:t>
      </w:r>
      <w:r>
        <w:rPr>
          <w:b/>
        </w:rPr>
        <w:t>mechanism</w:t>
      </w:r>
      <w:r>
        <w:rPr>
          <w:b w:val="0"/>
        </w:rPr>
        <w:t xml:space="preserve"> rather than merely restate the original result.</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 xml:space="preserve">Guided: There are three query units and 12 run measurements. Do not analyse them as 12 independent queries. Qualification: Independence follows design and relationships, not row count. 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W2 Trace the worked case</w:t>
      </w:r>
    </w:p>
    <w:p>
      <w:pPr>
        <w:pStyle w:val="Heading3"/>
      </w:pPr>
      <w:r>
        <w:t>W3 Audit the limit</w:t>
      </w:r>
    </w:p>
    <w:p>
      <w:pPr>
        <w:pStyle w:val="Heading3"/>
      </w:pPr>
      <w:r>
        <w:t>W4 Apply a new case independently</w:t>
      </w:r>
    </w:p>
    <w:p>
      <w:pPr>
        <w:spacing w:line="336" w:lineRule="auto" w:after="180"/>
      </w:pPr>
      <w:r>
        <w:rPr>
          <w:b w:val="0"/>
        </w:rPr>
        <w:t>Five classrooms each contribute 20 student responses under a classroom-level assignment. Identify assignment units and measurements.</w:t>
      </w:r>
    </w:p>
    <w:p>
      <w:pPr>
        <w:spacing w:line="336" w:lineRule="auto" w:after="180"/>
      </w:pPr>
      <w:r>
        <w:rPr>
          <w:b w:val="0"/>
        </w:rPr>
        <w:t>Teacher explanation: Five assignment units; 100 student measurements are clustered within them. Treating all 100 as independent assignments is unjustified.</w:t>
      </w:r>
    </w:p>
    <w:p>
      <w:pPr>
        <w:pStyle w:val="Heading3"/>
      </w:pPr>
      <w:r>
        <w:t>W5 Design a revealing follow-up</w:t>
      </w:r>
    </w:p>
    <w:p>
      <w:pPr>
        <w:pStyle w:val="Heading3"/>
      </w:pPr>
      <w:r>
        <w:t>Independent assessment and fresh retry</w:t>
      </w:r>
    </w:p>
    <w:p>
      <w:pPr>
        <w:spacing w:line="336" w:lineRule="auto" w:after="180"/>
      </w:pPr>
      <w:r>
        <w:rPr>
          <w:b w:val="0"/>
        </w:rPr>
        <w:t>W4: Five assignment units; 100 student measurements are clustered within them. Treating all 100 as independent assignments is unjustified. Require intermediate reasoning and the stated scope. Fresh retry: Four documents each yield three overlapping chunks. Expected reasoning: Four source documents, twelve related chunks. Chunk duplication does not create independent sources. If students need support, record it and reassess with another new case rather than awarding independence to a copied answer.</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revisit research reasoning</w:t>
      </w:r>
    </w:p>
    <w:p>
      <w:r>
        <w:t>Use saved evidence and assumptions to choose the next question.</w:t>
      </w:r>
    </w:p>
    <w:p>
      <w:pPr>
        <w:pStyle w:val="Heading2"/>
      </w:pPr>
      <w:r>
        <w:t>Project and next-week bridge</w:t>
      </w:r>
    </w:p>
    <w:p>
      <w:pPr>
        <w:spacing w:line="336" w:lineRule="auto" w:after="180"/>
      </w:pPr>
      <w:r>
        <w:rPr>
          <w:b w:val="0"/>
        </w:rPr>
        <w:t xml:space="preserve">Add a labelled </w:t>
      </w:r>
      <w:r>
        <w:rPr>
          <w:b/>
        </w:rPr>
        <w:t>experimental unit</w:t>
      </w:r>
      <w:r>
        <w:rPr>
          <w:b w:val="0"/>
        </w:rPr>
        <w:t xml:space="preserve">s and independence </w:t>
      </w:r>
      <w:r>
        <w:rPr>
          <w:b/>
        </w:rPr>
        <w:t>evidence</w:t>
      </w:r>
      <w:r>
        <w:rPr>
          <w:b w:val="0"/>
        </w:rPr>
        <w:t xml:space="preserve"> sheet to Reproducible AI Research Study. Show how you can explain the </w:t>
      </w:r>
      <w:r>
        <w:rPr>
          <w:b/>
        </w:rPr>
        <w:t>mechanism</w:t>
      </w:r>
      <w:r>
        <w:rPr>
          <w:b w:val="0"/>
        </w:rPr>
        <w:t xml:space="preserve"> and terminology of </w:t>
      </w:r>
      <w:r>
        <w:rPr>
          <w:b/>
        </w:rPr>
        <w:t>experimental unit</w:t>
      </w:r>
      <w:r>
        <w:rPr>
          <w:b w:val="0"/>
        </w:rPr>
        <w:t>s and independence.</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Confounders and controls.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2"/>
      </w:pPr>
      <w:r>
        <w:t>Delayed return and support record</w:t>
      </w:r>
    </w:p>
    <w:p>
      <w:pPr>
        <w:spacing w:line="336" w:lineRule="auto" w:after="180"/>
      </w:pPr>
      <w:r>
        <w:rPr>
          <w:b w:val="0"/>
        </w:rPr>
        <w:t>Suggested return points in this level: ai-7/10, ai-7/12, ai-7/15.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 xml:space="preserve">Teaching target: Explain the </w:t>
      </w:r>
      <w:r>
        <w:rPr>
          <w:b/>
        </w:rPr>
        <w:t>mechanism</w:t>
      </w:r>
      <w:r>
        <w:rPr>
          <w:b w:val="0"/>
        </w:rPr>
        <w:t xml:space="preserve"> and terminology of </w:t>
      </w:r>
      <w:r>
        <w:rPr>
          <w:b/>
        </w:rPr>
        <w:t>experimental unit</w:t>
      </w:r>
      <w:r>
        <w:rPr>
          <w:b w:val="0"/>
        </w:rPr>
        <w:t>s and independence</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 xml:space="preserve">Before class, solve the supported practice: Three queries each run four times produce 12 </w:t>
      </w:r>
      <w:r>
        <w:rPr>
          <w:b/>
        </w:rPr>
        <w:t>output</w:t>
      </w:r>
      <w:r>
        <w:rPr>
          <w:b w:val="0"/>
        </w:rPr>
        <w:t>s. Show the intermediate steps and give the conclusion with its scope.</w:t>
      </w:r>
    </w:p>
    <w:p>
      <w:pPr>
        <w:spacing w:line="336" w:lineRule="auto" w:after="180"/>
      </w:pPr>
      <w:r>
        <w:rPr>
          <w:b w:val="0"/>
        </w:rPr>
        <w:t>Reasoned practice answer: Teacher explanation: There are three query units and 12 run measurements. Do not analyse them as 12 independent queries.</w:t>
      </w:r>
    </w:p>
    <w:p>
      <w:pPr>
        <w:spacing w:line="336" w:lineRule="auto" w:after="180"/>
      </w:pPr>
      <w:r>
        <w:rPr>
          <w:b w:val="0"/>
        </w:rPr>
        <w:t xml:space="preserve">Check every learner before discussion: Use the worked case for </w:t>
      </w:r>
      <w:r>
        <w:rPr>
          <w:b/>
        </w:rPr>
        <w:t>Experimental unit</w:t>
      </w:r>
      <w:r>
        <w:rPr>
          <w:b w:val="0"/>
        </w:rPr>
        <w:t>s and independence.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Independence follows design and relationships, not row count.</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Put one P1 view into evaluation while other P1 views train. Require a </w:t>
      </w:r>
      <w:r>
        <w:rPr>
          <w:b/>
        </w:rPr>
        <w:t>prediction</w:t>
      </w:r>
      <w:r>
        <w:rPr>
          <w:b w:val="0"/>
        </w:rPr>
        <w:t xml:space="preserve"> and a reason before comparing. Expected result: Flag object-level leakage for this new-plant target.</w:t>
      </w:r>
    </w:p>
    <w:p>
      <w:pPr>
        <w:spacing w:line="336" w:lineRule="auto" w:after="180"/>
      </w:pPr>
      <w:r>
        <w:rPr>
          <w:b w:val="0"/>
        </w:rPr>
        <w:t xml:space="preserve">Reason: Evaluation now includes a plant already represented during </w:t>
      </w:r>
      <w:r>
        <w:rPr>
          <w:b/>
        </w:rPr>
        <w:t>training</w:t>
      </w:r>
      <w:r>
        <w:rPr>
          <w:b w:val="0"/>
        </w:rPr>
        <w:t>.</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Experimental units and independence: the case</w:t>
      </w:r>
    </w:p>
    <w:p>
      <w:r>
        <w:drawing>
          <wp:inline xmlns:a="http://schemas.openxmlformats.org/drawingml/2006/main" xmlns:pic="http://schemas.openxmlformats.org/drawingml/2006/picture">
            <wp:extent cx="5486400" cy="2834640"/>
            <wp:docPr id="5" name="Picture 5" descr="Photos are not always independent plants. A dataset has twelve photos: three views of each of four plants. The intended use is identifying new plants. Supplied facts: Plant IDs P1–P4 each have three views. All views of a plant must stay in one split."/>
            <wp:cNvGraphicFramePr>
              <a:graphicFrameLocks noChangeAspect="1"/>
            </wp:cNvGraphicFramePr>
            <a:graphic>
              <a:graphicData uri="http://schemas.openxmlformats.org/drawingml/2006/picture">
                <pic:pic>
                  <pic:nvPicPr>
                    <pic:cNvPr id="0" name="academy-story-ai-7-9-01.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Photos are not always independent plants. A dataset has twelve photos: three views of each of four plants. The intended use is identifying new plants. Supplied facts: Plant IDs P1–P4 each have three views.</w:t>
      </w:r>
    </w:p>
    <w:p>
      <w:pPr>
        <w:spacing w:line="336" w:lineRule="auto" w:after="180"/>
      </w:pPr>
      <w:r>
        <w:rPr>
          <w:b w:val="0"/>
        </w:rPr>
        <w:t>All views of a plant must stay in one split.</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6" name="Picture 6" descr="Identify the unit: Four plants, not twelve independent plants, generated the observations. → Group before splitting: Assign whole plant IDs to training or evaluation. → Trace a valid split: Train on P1,P2 and evaluate on P3,P4: six photos per split."/>
            <wp:cNvGraphicFramePr>
              <a:graphicFrameLocks noChangeAspect="1"/>
            </wp:cNvGraphicFramePr>
            <a:graphic>
              <a:graphicData uri="http://schemas.openxmlformats.org/drawingml/2006/picture">
                <pic:pic>
                  <pic:nvPicPr>
                    <pic:cNvPr id="0" name="academy-story-ai-7-9-02.png"/>
                    <pic:cNvPicPr/>
                  </pic:nvPicPr>
                  <pic:blipFill>
                    <a:blip r:embed="rId10"/>
                    <a:stretch>
                      <a:fillRect/>
                    </a:stretch>
                  </pic:blipFill>
                  <pic:spPr>
                    <a:xfrm>
                      <a:off x="0" y="0"/>
                      <a:ext cx="5486400" cy="3182112"/>
                    </a:xfrm>
                    <a:prstGeom prst="rect"/>
                  </pic:spPr>
                </pic:pic>
              </a:graphicData>
            </a:graphic>
          </wp:inline>
        </w:drawing>
      </w:r>
    </w:p>
    <w:p>
      <w:pPr>
        <w:spacing w:line="336" w:lineRule="auto" w:after="180"/>
      </w:pPr>
      <w:r>
        <w:rPr>
          <w:b w:val="0"/>
        </w:rPr>
        <w:t xml:space="preserve">Identify the unit: Four plants, not twelve independent plants, generated the </w:t>
      </w:r>
      <w:r>
        <w:rPr>
          <w:b/>
        </w:rPr>
        <w:t>observation</w:t>
      </w:r>
      <w:r>
        <w:rPr>
          <w:b w:val="0"/>
        </w:rPr>
        <w:t xml:space="preserve">s. → Group before splitting: Assign whole plant IDs to </w:t>
      </w:r>
      <w:r>
        <w:rPr>
          <w:b/>
        </w:rPr>
        <w:t>training</w:t>
      </w:r>
      <w:r>
        <w:rPr>
          <w:b w:val="0"/>
        </w:rPr>
        <w:t xml:space="preserve"> or evaluation. → Trace a valid split: Train on P1,P2 and evaluate on P3,P4: six photos per split.</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Keep all views of a plant together</w:t>
      </w:r>
    </w:p>
    <w:p>
      <w:r>
        <w:drawing>
          <wp:inline xmlns:a="http://schemas.openxmlformats.org/drawingml/2006/main" xmlns:pic="http://schemas.openxmlformats.org/drawingml/2006/picture">
            <wp:extent cx="5486400" cy="3096768"/>
            <wp:docPr id="7" name="Picture 7" descr="Keep all views of a plant together. Train: 6 photos: Plant with 3 views = P1, Plant with 3 views = P2. Evaluate: 6 photos: Plant with 3 views = P3, Plant with 3 views = P4."/>
            <wp:cNvGraphicFramePr>
              <a:graphicFrameLocks noChangeAspect="1"/>
            </wp:cNvGraphicFramePr>
            <a:graphic>
              <a:graphicData uri="http://schemas.openxmlformats.org/drawingml/2006/picture">
                <pic:pic>
                  <pic:nvPicPr>
                    <pic:cNvPr id="0" name="academy-story-ai-7-9-03.png"/>
                    <pic:cNvPicPr/>
                  </pic:nvPicPr>
                  <pic:blipFill>
                    <a:blip r:embed="rId14"/>
                    <a:stretch>
                      <a:fillRect/>
                    </a:stretch>
                  </pic:blipFill>
                  <pic:spPr>
                    <a:xfrm>
                      <a:off x="0" y="0"/>
                      <a:ext cx="5486400" cy="3096768"/>
                    </a:xfrm>
                    <a:prstGeom prst="rect"/>
                  </pic:spPr>
                </pic:pic>
              </a:graphicData>
            </a:graphic>
          </wp:inline>
        </w:drawing>
      </w:r>
    </w:p>
    <w:p>
      <w:pPr>
        <w:spacing w:line="336" w:lineRule="auto" w:after="180"/>
      </w:pPr>
      <w:r>
        <w:rPr>
          <w:b w:val="0"/>
        </w:rPr>
        <w:t>Keep all views of a plant together. Train: 6 photos: Plant with 3 views = P1, Plant with 3 views = P2. Evaluate: 6 photos: Plant with 3 views = P3, Plant with 3 views = P4.</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pPr>
      <w:r>
        <w:rPr>
          <w:b w:val="0"/>
        </w:rPr>
        <w:t>Check row/column meanings, units and denominators before discussing a difference. Supplied toy values are not real class or model results.</w:t>
      </w:r>
    </w:p>
    <w:p>
      <w:pPr>
        <w:pStyle w:val="Heading2"/>
      </w:pPr>
      <w:r>
        <w:t>04. Change one thing. Trace what follows.</w:t>
      </w:r>
    </w:p>
    <w:p>
      <w:r>
        <w:drawing>
          <wp:inline xmlns:a="http://schemas.openxmlformats.org/drawingml/2006/main" xmlns:pic="http://schemas.openxmlformats.org/drawingml/2006/picture">
            <wp:extent cx="5486400" cy="3026664"/>
            <wp:docPr id="8" name="Picture 8" descr="Original case: Train on P1,P2 and evaluate on P3,P4: six photos per split. Changed condition: Put one P1 view into evaluation while other P1 views train. Expected result: Flag object-level leakage for this new-plant target. Reason: Evaluation now includes a plant already represented during training."/>
            <wp:cNvGraphicFramePr>
              <a:graphicFrameLocks noChangeAspect="1"/>
            </wp:cNvGraphicFramePr>
            <a:graphic>
              <a:graphicData uri="http://schemas.openxmlformats.org/drawingml/2006/picture">
                <pic:pic>
                  <pic:nvPicPr>
                    <pic:cNvPr id="0" name="academy-story-ai-7-9-04.png"/>
                    <pic:cNvPicPr/>
                  </pic:nvPicPr>
                  <pic:blipFill>
                    <a:blip r:embed="rId15"/>
                    <a:stretch>
                      <a:fillRect/>
                    </a:stretch>
                  </pic:blipFill>
                  <pic:spPr>
                    <a:xfrm>
                      <a:off x="0" y="0"/>
                      <a:ext cx="5486400" cy="3026664"/>
                    </a:xfrm>
                    <a:prstGeom prst="rect"/>
                  </pic:spPr>
                </pic:pic>
              </a:graphicData>
            </a:graphic>
          </wp:inline>
        </w:drawing>
      </w:r>
    </w:p>
    <w:p>
      <w:pPr>
        <w:spacing w:line="336" w:lineRule="auto" w:after="180"/>
      </w:pPr>
      <w:r>
        <w:rPr>
          <w:b w:val="0"/>
        </w:rPr>
        <w:t>Original case: Train on P1,P2 and evaluate on P3,P4: six photos per split. Changed condition: Put one P1 view into evaluation while other P1 views train. Expected result: Flag object-level leakage for this new-plant target.</w:t>
      </w:r>
    </w:p>
    <w:p>
      <w:pPr>
        <w:spacing w:line="336" w:lineRule="auto" w:after="180"/>
      </w:pPr>
      <w:r>
        <w:rPr>
          <w:b w:val="0"/>
        </w:rPr>
        <w:t xml:space="preserve">Reason: Evaluation now includes a plant already represented during </w:t>
      </w:r>
      <w:r>
        <w:rPr>
          <w:b/>
        </w:rPr>
        <w:t>training</w:t>
      </w:r>
      <w:r>
        <w:rPr>
          <w:b w:val="0"/>
        </w:rPr>
        <w:t>.</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 xml:space="preserve">Use the adjacent transcript if the image is difficult to see. Changed-case reasoning: Evaluation now includes a plant already represented during </w:t>
      </w:r>
      <w:r>
        <w:rPr>
          <w:b/>
        </w:rPr>
        <w:t>training</w:t>
      </w:r>
      <w:r>
        <w:rPr>
          <w:b w:val="0"/>
        </w:rPr>
        <w:t>.</w:t>
      </w:r>
    </w:p>
    <w:p>
      <w:pPr>
        <w:pStyle w:val="Heading2"/>
      </w:pPr>
      <w:r>
        <w:t>05. Connect the explanation to its limit</w:t>
      </w:r>
    </w:p>
    <w:p>
      <w:r>
        <w:drawing>
          <wp:inline xmlns:a="http://schemas.openxmlformats.org/drawingml/2006/main" xmlns:pic="http://schemas.openxmlformats.org/drawingml/2006/picture">
            <wp:extent cx="5486400" cy="2834640"/>
            <wp:docPr id="9" name="Picture 9" descr="Repeated views from one object share information. Counting them as independent units or scattering them across splits can exaggerate evidence for new-object performance. Limit: Four plants offer little population coverage; even a group-correct split may be too small for broad conclusions."/>
            <wp:cNvGraphicFramePr>
              <a:graphicFrameLocks noChangeAspect="1"/>
            </wp:cNvGraphicFramePr>
            <a:graphic>
              <a:graphicData uri="http://schemas.openxmlformats.org/drawingml/2006/picture">
                <pic:pic>
                  <pic:nvPicPr>
                    <pic:cNvPr id="0" name="academy-story-ai-7-9-05.png"/>
                    <pic:cNvPicPr/>
                  </pic:nvPicPr>
                  <pic:blipFill>
                    <a:blip r:embed="rId16"/>
                    <a:stretch>
                      <a:fillRect/>
                    </a:stretch>
                  </pic:blipFill>
                  <pic:spPr>
                    <a:xfrm>
                      <a:off x="0" y="0"/>
                      <a:ext cx="5486400" cy="2834640"/>
                    </a:xfrm>
                    <a:prstGeom prst="rect"/>
                  </pic:spPr>
                </pic:pic>
              </a:graphicData>
            </a:graphic>
          </wp:inline>
        </w:drawing>
      </w:r>
    </w:p>
    <w:p>
      <w:pPr>
        <w:spacing w:line="336" w:lineRule="auto" w:after="180"/>
      </w:pPr>
      <w:r>
        <w:rPr>
          <w:b w:val="0"/>
        </w:rPr>
        <w:t xml:space="preserve">Repeated views from one object share information. Counting them as independent units or scattering them across splits can exaggerate </w:t>
      </w:r>
      <w:r>
        <w:rPr>
          <w:b/>
        </w:rPr>
        <w:t>evidence</w:t>
      </w:r>
      <w:r>
        <w:rPr>
          <w:b w:val="0"/>
        </w:rPr>
        <w:t xml:space="preserve"> for new-object performance.</w:t>
      </w:r>
    </w:p>
    <w:p>
      <w:pPr>
        <w:spacing w:line="336" w:lineRule="auto" w:after="180"/>
      </w:pPr>
      <w:r>
        <w:rPr>
          <w:b w:val="0"/>
        </w:rPr>
        <w:t>Limit: Four plants offer little population coverage; even a group-correct split may be too small for broad conclusions.</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Keep the stated scope: Four plants offer little population coverage; even a group-correct split may be too small for broad conclusions.</w:t>
      </w:r>
    </w:p>
    <w:p>
      <w:pPr>
        <w:pStyle w:val="Heading2"/>
      </w:pPr>
      <w:r>
        <w:t>06. Make the idea visible in your project</w:t>
      </w:r>
    </w:p>
    <w:p>
      <w:r>
        <w:drawing>
          <wp:inline xmlns:a="http://schemas.openxmlformats.org/drawingml/2006/main" xmlns:pic="http://schemas.openxmlformats.org/drawingml/2006/picture">
            <wp:extent cx="5486400" cy="3681984"/>
            <wp:docPr id="10" name="Picture 10"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Count distinct plant units and photo views, and state the independence assumption. Construct the stated group-correct split, then explain why placing a P1 view in evaluation creates leakage for the new-plant goal."/>
            <wp:cNvGraphicFramePr>
              <a:graphicFrameLocks noChangeAspect="1"/>
            </wp:cNvGraphicFramePr>
            <a:graphic>
              <a:graphicData uri="http://schemas.openxmlformats.org/drawingml/2006/picture">
                <pic:pic>
                  <pic:nvPicPr>
                    <pic:cNvPr id="0" name="academy-story-ai-7-9-06.png"/>
                    <pic:cNvPicPr/>
                  </pic:nvPicPr>
                  <pic:blipFill>
                    <a:blip r:embed="rId17"/>
                    <a:stretch>
                      <a:fillRect/>
                    </a:stretch>
                  </pic:blipFill>
                  <pic:spPr>
                    <a:xfrm>
                      <a:off x="0" y="0"/>
                      <a:ext cx="5486400" cy="3681984"/>
                    </a:xfrm>
                    <a:prstGeom prst="rect"/>
                  </pic:spPr>
                </pic:pic>
              </a:graphicData>
            </a:graphic>
          </wp:inline>
        </w:drawing>
      </w:r>
    </w:p>
    <w:p>
      <w:pPr>
        <w:spacing w:line="336" w:lineRule="auto" w:after="180"/>
      </w:pPr>
      <w:r>
        <w:rPr>
          <w:b w:val="0"/>
        </w:rPr>
        <w:t xml:space="preserve">For the Reproducible AI Research Study, retain an annotated worked trace and the changed-case reasoning. Connect the claim to its records, units and assumptions so another investigator can challenge or reproduce it. Draw your </w:t>
      </w:r>
      <w:r>
        <w:rPr>
          <w:b/>
        </w:rPr>
        <w:t>input</w:t>
      </w:r>
      <w:r>
        <w:rPr>
          <w:b w:val="0"/>
        </w:rPr>
        <w:t>, deciding step, result and limit. Supported question: Count distinct plant units and photo views, and state the independence assumption. Construct the stated group-correct split, then explain why placing a P1 view in evaluation creates leakage for the new-plant goal.</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Four plants, not twelve independent plants, generated the </w:t>
      </w:r>
      <w:r>
        <w:rPr>
          <w:b/>
        </w:rPr>
        <w:t>observation</w:t>
      </w:r>
      <w:r>
        <w:rPr>
          <w:b w:val="0"/>
        </w:rPr>
        <w:t xml:space="preserve">s. Assign whole plant IDs to </w:t>
      </w:r>
      <w:r>
        <w:rPr>
          <w:b/>
        </w:rPr>
        <w:t>training</w:t>
      </w:r>
      <w:r>
        <w:rPr>
          <w:b w:val="0"/>
        </w:rPr>
        <w:t xml:space="preserve"> or evaluation. Train on P1,P2 and evaluate on P3,P4: six photos per split.</w:t>
      </w:r>
    </w:p>
    <w:p>
      <w:pPr>
        <w:spacing w:line="336" w:lineRule="auto" w:after="180"/>
      </w:pPr>
      <w:r>
        <w:rPr>
          <w:b w:val="0"/>
        </w:rPr>
        <w:t xml:space="preserve">Changed case: Flag object-level leakage for this new-plant target. Evaluation now includes a plant already represented during </w:t>
      </w:r>
      <w:r>
        <w:rPr>
          <w:b/>
        </w:rPr>
        <w:t>training</w:t>
      </w:r>
      <w:r>
        <w:rPr>
          <w:b w:val="0"/>
        </w:rPr>
        <w:t>.</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Experimental units and independence: the case</w:t>
      </w:r>
    </w:p>
    <w:p>
      <w:pPr>
        <w:pStyle w:val="Heading3"/>
      </w:pPr>
      <w:r>
        <w:t>02. Follow the deciding steps</w:t>
      </w:r>
    </w:p>
    <w:p>
      <w:pPr>
        <w:pStyle w:val="Heading3"/>
      </w:pPr>
      <w:r>
        <w:t>03. Keep all views of a plant together</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