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ai-7/18</w:t>
      </w:r>
    </w:p>
    <w:p>
      <w:pPr>
        <w:pStyle w:val="Title"/>
      </w:pPr>
      <w:r>
        <w:t>Dataset and benchmark limitations</w:t>
      </w:r>
    </w:p>
    <w:p>
      <w:r>
        <w:t>Project: Reproducible AI Research Study</w:t>
      </w:r>
    </w:p>
    <w:p>
      <w:pPr>
        <w:pStyle w:val="Heading1"/>
      </w:pPr>
      <w:r>
        <w:t>Ask which source and setting each denominator represents.</w:t>
      </w:r>
    </w:p>
    <w:p>
      <w:r>
        <w:t>Teach benchmark limitations through explicit grouping and missing coverage.</w:t>
      </w:r>
    </w:p>
    <w:p>
      <w:r>
        <w:t>Model eight-source count → distinguish identity from independence → trace indoor/outdoor slices → preserve unassessed fields → assess independent source arrangement.</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dataset and </w:t>
      </w:r>
      <w:r>
        <w:rPr>
          <w:b/>
        </w:rPr>
        <w:t>benchmark</w:t>
      </w:r>
      <w:r>
        <w:rPr>
          <w:b w:val="0"/>
        </w:rPr>
        <w:t xml:space="preserve">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Sensitivity analysis.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sensitivity analysis</w:t>
      </w:r>
    </w:p>
    <w:p>
      <w:pPr>
        <w:spacing w:line="336" w:lineRule="auto" w:after="180"/>
      </w:pPr>
      <w:r>
        <w:rPr>
          <w:b w:val="0"/>
        </w:rPr>
        <w:t>Reference example, not the only acceptable wording: Teacher explanation: Sensitivity analysis checks whether a conclusion changes under plausible settings or analysis choices.</w:t>
      </w:r>
    </w:p>
    <w:p>
      <w:pPr>
        <w:spacing w:line="336" w:lineRule="auto" w:after="180"/>
      </w:pPr>
      <w:r>
        <w:rPr>
          <w:b w:val="0"/>
        </w:rPr>
        <w:t>It should not secretly select the most favourable result. Prespecify a range and preserve all results. Distinguish robustness across settings from proof beyond the tested range.</w:t>
      </w:r>
    </w:p>
    <w:p>
      <w:pPr>
        <w:spacing w:line="336" w:lineRule="auto" w:after="180"/>
      </w:pPr>
      <w:r>
        <w:rPr>
          <w:b w:val="0"/>
        </w:rPr>
        <w:t>Settings affecting data roles require special caution.</w:t>
      </w:r>
    </w:p>
    <w:p>
      <w:pPr>
        <w:spacing w:line="336" w:lineRule="auto" w:after="180"/>
      </w:pPr>
      <w:r>
        <w:rPr>
          <w:b w:val="0"/>
        </w:rPr>
        <w:t>Without opening the old lesson, explain one key idea from Multiple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multiple comparisons</w:t>
      </w:r>
    </w:p>
    <w:p>
      <w:pPr>
        <w:spacing w:line="336" w:lineRule="auto" w:after="180"/>
      </w:pPr>
      <w:r>
        <w:rPr>
          <w:b w:val="0"/>
        </w:rPr>
        <w:t>Reference example, not the only acceptable wording: Teacher explanation: Testing many hypotheses creates more chances for false discoveries. A family rule must be specified before selecting attractive p-values.</w:t>
      </w:r>
    </w:p>
    <w:p>
      <w:pPr>
        <w:spacing w:line="336" w:lineRule="auto" w:after="180"/>
      </w:pPr>
      <w:r>
        <w:rPr>
          <w:b w:val="0"/>
        </w:rPr>
        <w:t>For this exercise use Bonferroni:family alpha .05 divided by number of tests m; reject each test when its valid p-value is at most .05/m. This controls the family error by a bound without requiring independent tests.</w:t>
      </w:r>
    </w:p>
    <w:p>
      <w:pPr>
        <w:spacing w:line="336" w:lineRule="auto" w:after="180"/>
      </w:pPr>
      <w:r>
        <w:rPr>
          <w:b w:val="0"/>
        </w:rPr>
        <w:t>Without opening the old lesson, explain one key idea from Uncertainty intervals.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uncertainty intervals</w:t>
      </w:r>
    </w:p>
    <w:p>
      <w:pPr>
        <w:spacing w:line="336" w:lineRule="auto" w:after="180"/>
      </w:pPr>
      <w:r>
        <w:rPr>
          <w:b w:val="0"/>
        </w:rPr>
        <w:t>Reference example, not the only acceptable wording: Teacher explanation: An uncertainty interval needs a sampling model and assumptions.</w:t>
      </w:r>
    </w:p>
    <w:p>
      <w:pPr>
        <w:spacing w:line="336" w:lineRule="auto" w:after="180"/>
      </w:pPr>
      <w:r>
        <w:rPr>
          <w:b w:val="0"/>
        </w:rPr>
        <w:t>A confidence level refers to the repeated-sampling method, not a probability attached to a fixed unknown parameter after observing data.</w:t>
      </w:r>
    </w:p>
    <w:p>
      <w:pPr>
        <w:spacing w:line="336" w:lineRule="auto" w:after="180"/>
      </w:pPr>
      <w:r>
        <w:rPr>
          <w:b w:val="0"/>
        </w:rPr>
        <w:t>For this constructed exercise assume independent normal measurements with known population standard deviation 2. A 95% mean interval uses supplied normal critical value 1.96:mean plus/minus1.96*sigma/sqrt(n).</w:t>
      </w:r>
    </w:p>
    <w:p>
      <w:pPr>
        <w:spacing w:line="336" w:lineRule="auto" w:after="180"/>
      </w:pPr>
      <w:r>
        <w:rPr>
          <w:b w:val="0"/>
        </w:rPr>
        <w:t>Unknown sigma requires a different justified method.</w:t>
      </w:r>
    </w:p>
    <w:p>
      <w:pPr>
        <w:pStyle w:val="Heading2"/>
      </w:pPr>
      <w:r>
        <w:t>Pictured end goal</w:t>
      </w:r>
    </w:p>
    <w:p>
      <w:pPr>
        <w:spacing w:line="336" w:lineRule="auto" w:after="180"/>
      </w:pPr>
      <w:r>
        <w:rPr>
          <w:b w:val="0"/>
        </w:rPr>
        <w:t xml:space="preserve">Explain dataset and </w:t>
      </w:r>
      <w:r>
        <w:rPr>
          <w:b/>
        </w:rPr>
        <w:t>benchmark</w:t>
      </w:r>
      <w:r>
        <w:rPr>
          <w:b w:val="0"/>
        </w:rPr>
        <w:t xml:space="preserve"> limitations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Sensitivity analysis</w:t>
      </w:r>
    </w:p>
    <w:p>
      <w:pPr>
        <w:pStyle w:val="Heading3"/>
      </w:pPr>
      <w:r>
        <w:t>Multiple comparisons</w:t>
      </w:r>
    </w:p>
    <w:p>
      <w:pPr>
        <w:pStyle w:val="Heading3"/>
      </w:pPr>
      <w:r>
        <w:t>Uncertainty intervals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benchmark</w:t>
      </w:r>
      <w:r>
        <w:rPr>
          <w:b w:val="0"/>
        </w:rPr>
        <w:t xml:space="preserve"> measures performance on its particular data and labels. Duplicates, obsolete cases or poor coverage can weaken claims.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dataset and </w:t>
      </w:r>
      <w:r>
        <w:rPr>
          <w:b/>
        </w:rPr>
        <w:t>benchmark</w:t>
      </w:r>
      <w:r>
        <w:rPr>
          <w:b w:val="0"/>
        </w:rPr>
        <w:t xml:space="preserve"> limitations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benchmark identity and coverage with honest denominators</w:t>
      </w:r>
    </w:p>
    <w:p>
      <w:r>
        <w:t>Distinguish unique IDs, independent sampling and representative evaluation.</w:t>
      </w:r>
    </w:p>
    <w:p>
      <w:pPr>
        <w:pStyle w:val="Heading2"/>
      </w:pPr>
      <w:r>
        <w:t>Definitions and full contract</w:t>
      </w:r>
    </w:p>
    <w:p>
      <w:pPr>
        <w:spacing w:line="336" w:lineRule="auto" w:after="180"/>
      </w:pPr>
      <w:r>
        <w:rPr>
          <w:b w:val="0"/>
        </w:rPr>
        <w:t xml:space="preserve">A </w:t>
      </w:r>
      <w:r>
        <w:rPr>
          <w:b/>
        </w:rPr>
        <w:t>benchmark</w:t>
      </w:r>
      <w:r>
        <w:rPr>
          <w:b w:val="0"/>
        </w:rPr>
        <w:t xml:space="preserve"> measures performance on its particular data and labels. Duplicates, obsolete cases or poor coverage can weaken claims.</w:t>
      </w:r>
    </w:p>
    <w:p>
      <w:pPr>
        <w:spacing w:line="336" w:lineRule="auto" w:after="180"/>
      </w:pPr>
      <w:r>
        <w:rPr>
          <w:b w:val="0"/>
        </w:rPr>
        <w:t>Inspect eligibility, source dates, related units and label definitions before scoring. Deduplicate by declared unit identity, not merely file name; report excluded and unassessed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Audit item</w:t>
            </w:r>
          </w:p>
        </w:tc>
        <w:tc>
          <w:tcPr>
            <w:tcW w:type="dxa" w:w="5112"/>
          </w:tcPr>
          <w:p>
            <w:r>
              <w:t>Complete supplied contract</w:t>
            </w:r>
          </w:p>
        </w:tc>
      </w:tr>
      <w:tr>
        <w:tc>
          <w:tcPr>
            <w:tcW w:type="dxa" w:w="5112"/>
          </w:tcPr>
          <w:p>
            <w:r>
              <w:t>Main source arrangement</w:t>
            </w:r>
          </w:p>
        </w:tc>
        <w:tc>
          <w:tcPr>
            <w:tcW w:type="dxa" w:w="5112"/>
          </w:tcPr>
          <w:p>
            <w:r>
              <w:t>Ten rows: three copies of S1 plus seven other distinct source IDs S2–S8</w:t>
            </w:r>
          </w:p>
        </w:tc>
      </w:tr>
      <w:tr>
        <w:tc>
          <w:tcPr>
            <w:tcW w:type="dxa" w:w="5112"/>
          </w:tcPr>
          <w:p>
            <w:r>
              <w:t>Distinct source count</w:t>
            </w:r>
          </w:p>
        </w:tc>
        <w:tc>
          <w:tcPr>
            <w:tcW w:type="dxa" w:w="5112"/>
          </w:tcPr>
          <w:p>
            <w:r>
              <w:t>One repeated source + seven others = eight</w:t>
            </w:r>
          </w:p>
        </w:tc>
      </w:tr>
      <w:tr>
        <w:tc>
          <w:tcPr>
            <w:tcW w:type="dxa" w:w="5112"/>
          </w:tcPr>
          <w:p>
            <w:r>
              <w:t>Duplicate weighting</w:t>
            </w:r>
          </w:p>
        </w:tc>
        <w:tc>
          <w:tcPr>
            <w:tcW w:type="dxa" w:w="5112"/>
          </w:tcPr>
          <w:p>
            <w:r>
              <w:t>S1 contributes three rows; each other source contributes one</w:t>
            </w:r>
          </w:p>
        </w:tc>
      </w:tr>
      <w:tr>
        <w:tc>
          <w:tcPr>
            <w:tcW w:type="dxa" w:w="5112"/>
          </w:tcPr>
          <w:p>
            <w:r>
              <w:t>Extra rows beyond one per source</w:t>
            </w:r>
          </w:p>
        </w:tc>
        <w:tc>
          <w:tcPr>
            <w:tcW w:type="dxa" w:w="5112"/>
          </w:tcPr>
          <w:p>
            <w:r>
              <w:t>Two; do not confuse three copies with three extra copies</w:t>
            </w:r>
          </w:p>
        </w:tc>
      </w:tr>
      <w:tr>
        <w:tc>
          <w:tcPr>
            <w:tcW w:type="dxa" w:w="5112"/>
          </w:tcPr>
          <w:p>
            <w:r>
              <w:t>Independence</w:t>
            </w:r>
          </w:p>
        </w:tc>
        <w:tc>
          <w:tcPr>
            <w:tcW w:type="dxa" w:w="5112"/>
          </w:tcPr>
          <w:p>
            <w:r>
              <w:t>Different source IDs do not prove independent sampling</w:t>
            </w:r>
          </w:p>
        </w:tc>
      </w:tr>
      <w:tr>
        <w:tc>
          <w:tcPr>
            <w:tcW w:type="dxa" w:w="5112"/>
          </w:tcPr>
          <w:p>
            <w:r>
              <w:t>Separate picture</w:t>
            </w:r>
          </w:p>
        </w:tc>
        <w:tc>
          <w:tcPr>
            <w:tcW w:type="dxa" w:w="5112"/>
          </w:tcPr>
          <w:p>
            <w:r>
              <w:t>Indoor 9/10; outdoor initially unmeasured</w:t>
            </w:r>
          </w:p>
        </w:tc>
      </w:tr>
      <w:tr>
        <w:tc>
          <w:tcPr>
            <w:tcW w:type="dxa" w:w="5112"/>
          </w:tcPr>
          <w:p>
            <w:r>
              <w:t>Changed picture</w:t>
            </w:r>
          </w:p>
        </w:tc>
        <w:tc>
          <w:tcPr>
            <w:tcW w:type="dxa" w:w="5112"/>
          </w:tcPr>
          <w:p>
            <w:r>
              <w:t>Four reserved outdoor cases supplied, two correct</w:t>
            </w:r>
          </w:p>
        </w:tc>
      </w:tr>
      <w:tr>
        <w:tc>
          <w:tcPr>
            <w:tcW w:type="dxa" w:w="5112"/>
          </w:tcPr>
          <w:p>
            <w:r>
              <w:t>Unassessed properties</w:t>
            </w:r>
          </w:p>
        </w:tc>
        <w:tc>
          <w:tcPr>
            <w:tcW w:type="dxa" w:w="5112"/>
          </w:tcPr>
          <w:p>
            <w:r>
              <w:t>Source independence, label validity, eligibility, future representativeness and raw per-source outcomes</w:t>
            </w:r>
          </w:p>
        </w:tc>
      </w:tr>
    </w:tbl>
    <w:p>
      <w:pPr>
        <w:pStyle w:val="Heading2"/>
      </w:pPr>
      <w:r>
        <w:t>Main source ledger and checked teacher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Declared source ID</w:t>
            </w:r>
          </w:p>
        </w:tc>
        <w:tc>
          <w:tcPr>
            <w:tcW w:type="dxa" w:w="3408"/>
          </w:tcPr>
          <w:p>
            <w:r>
              <w:t>Row IDs in illustrative arrangement</w:t>
            </w:r>
          </w:p>
        </w:tc>
        <w:tc>
          <w:tcPr>
            <w:tcW w:type="dxa" w:w="3408"/>
          </w:tcPr>
          <w:p>
            <w:r>
              <w:t>Row weight</w:t>
            </w:r>
          </w:p>
        </w:tc>
      </w:tr>
      <w:tr>
        <w:tc>
          <w:tcPr>
            <w:tcW w:type="dxa" w:w="3408"/>
          </w:tcPr>
          <w:p>
            <w:r>
              <w:t>S1</w:t>
            </w:r>
          </w:p>
        </w:tc>
        <w:tc>
          <w:tcPr>
            <w:tcW w:type="dxa" w:w="3408"/>
          </w:tcPr>
          <w:p>
            <w:r>
              <w:t>R1, R2, R3</w:t>
            </w:r>
          </w:p>
        </w:tc>
        <w:tc>
          <w:tcPr>
            <w:tcW w:type="dxa" w:w="3408"/>
          </w:tcPr>
          <w:p>
            <w:r>
              <w:t>3 of 10</w:t>
            </w:r>
          </w:p>
        </w:tc>
      </w:tr>
      <w:tr>
        <w:tc>
          <w:tcPr>
            <w:tcW w:type="dxa" w:w="3408"/>
          </w:tcPr>
          <w:p>
            <w:r>
              <w:t>S2</w:t>
            </w:r>
          </w:p>
        </w:tc>
        <w:tc>
          <w:tcPr>
            <w:tcW w:type="dxa" w:w="3408"/>
          </w:tcPr>
          <w:p>
            <w:r>
              <w:t>R4</w:t>
            </w:r>
          </w:p>
        </w:tc>
        <w:tc>
          <w:tcPr>
            <w:tcW w:type="dxa" w:w="3408"/>
          </w:tcPr>
          <w:p>
            <w:r>
              <w:t>1 of 10</w:t>
            </w:r>
          </w:p>
        </w:tc>
      </w:tr>
      <w:tr>
        <w:tc>
          <w:tcPr>
            <w:tcW w:type="dxa" w:w="3408"/>
          </w:tcPr>
          <w:p>
            <w:r>
              <w:t>S3</w:t>
            </w:r>
          </w:p>
        </w:tc>
        <w:tc>
          <w:tcPr>
            <w:tcW w:type="dxa" w:w="3408"/>
          </w:tcPr>
          <w:p>
            <w:r>
              <w:t>R5</w:t>
            </w:r>
          </w:p>
        </w:tc>
        <w:tc>
          <w:tcPr>
            <w:tcW w:type="dxa" w:w="3408"/>
          </w:tcPr>
          <w:p>
            <w:r>
              <w:t>1 of 10</w:t>
            </w:r>
          </w:p>
        </w:tc>
      </w:tr>
      <w:tr>
        <w:tc>
          <w:tcPr>
            <w:tcW w:type="dxa" w:w="3408"/>
          </w:tcPr>
          <w:p>
            <w:r>
              <w:t>S4</w:t>
            </w:r>
          </w:p>
        </w:tc>
        <w:tc>
          <w:tcPr>
            <w:tcW w:type="dxa" w:w="3408"/>
          </w:tcPr>
          <w:p>
            <w:r>
              <w:t>R6</w:t>
            </w:r>
          </w:p>
        </w:tc>
        <w:tc>
          <w:tcPr>
            <w:tcW w:type="dxa" w:w="3408"/>
          </w:tcPr>
          <w:p>
            <w:r>
              <w:t>1 of 10</w:t>
            </w:r>
          </w:p>
        </w:tc>
      </w:tr>
      <w:tr>
        <w:tc>
          <w:tcPr>
            <w:tcW w:type="dxa" w:w="3408"/>
          </w:tcPr>
          <w:p>
            <w:r>
              <w:t>S5</w:t>
            </w:r>
          </w:p>
        </w:tc>
        <w:tc>
          <w:tcPr>
            <w:tcW w:type="dxa" w:w="3408"/>
          </w:tcPr>
          <w:p>
            <w:r>
              <w:t>R7</w:t>
            </w:r>
          </w:p>
        </w:tc>
        <w:tc>
          <w:tcPr>
            <w:tcW w:type="dxa" w:w="3408"/>
          </w:tcPr>
          <w:p>
            <w:r>
              <w:t>1 of 10</w:t>
            </w:r>
          </w:p>
        </w:tc>
      </w:tr>
      <w:tr>
        <w:tc>
          <w:tcPr>
            <w:tcW w:type="dxa" w:w="3408"/>
          </w:tcPr>
          <w:p>
            <w:r>
              <w:t>S6</w:t>
            </w:r>
          </w:p>
        </w:tc>
        <w:tc>
          <w:tcPr>
            <w:tcW w:type="dxa" w:w="3408"/>
          </w:tcPr>
          <w:p>
            <w:r>
              <w:t>R8</w:t>
            </w:r>
          </w:p>
        </w:tc>
        <w:tc>
          <w:tcPr>
            <w:tcW w:type="dxa" w:w="3408"/>
          </w:tcPr>
          <w:p>
            <w:r>
              <w:t>1 of 10</w:t>
            </w:r>
          </w:p>
        </w:tc>
      </w:tr>
      <w:tr>
        <w:tc>
          <w:tcPr>
            <w:tcW w:type="dxa" w:w="3408"/>
          </w:tcPr>
          <w:p>
            <w:r>
              <w:t>S7</w:t>
            </w:r>
          </w:p>
        </w:tc>
        <w:tc>
          <w:tcPr>
            <w:tcW w:type="dxa" w:w="3408"/>
          </w:tcPr>
          <w:p>
            <w:r>
              <w:t>R9</w:t>
            </w:r>
          </w:p>
        </w:tc>
        <w:tc>
          <w:tcPr>
            <w:tcW w:type="dxa" w:w="3408"/>
          </w:tcPr>
          <w:p>
            <w:r>
              <w:t>1 of 10</w:t>
            </w:r>
          </w:p>
        </w:tc>
      </w:tr>
      <w:tr>
        <w:tc>
          <w:tcPr>
            <w:tcW w:type="dxa" w:w="3408"/>
          </w:tcPr>
          <w:p>
            <w:r>
              <w:t>S8</w:t>
            </w:r>
          </w:p>
        </w:tc>
        <w:tc>
          <w:tcPr>
            <w:tcW w:type="dxa" w:w="3408"/>
          </w:tcPr>
          <w:p>
            <w:r>
              <w:t>R10</w:t>
            </w:r>
          </w:p>
        </w:tc>
        <w:tc>
          <w:tcPr>
            <w:tcW w:type="dxa" w:w="3408"/>
          </w:tcPr>
          <w:p>
            <w:r>
              <w:t>1 of 10</w:t>
            </w:r>
          </w:p>
        </w:tc>
      </w:tr>
      <w:tr>
        <w:tc>
          <w:tcPr>
            <w:tcW w:type="dxa" w:w="3408"/>
          </w:tcPr>
          <w:p>
            <w:r>
              <w:t>Total</w:t>
            </w:r>
          </w:p>
        </w:tc>
        <w:tc>
          <w:tcPr>
            <w:tcW w:type="dxa" w:w="3408"/>
          </w:tcPr>
          <w:p>
            <w:r>
              <w:t>Ten rows; eight distinct IDs</w:t>
            </w:r>
          </w:p>
        </w:tc>
        <w:tc>
          <w:tcPr>
            <w:tcW w:type="dxa" w:w="3408"/>
          </w:tcPr>
          <w:p>
            <w:r>
              <w:t>S1 receives triple row weight</w:t>
            </w:r>
          </w:p>
        </w:tc>
      </w:tr>
      <w:tr>
        <w:tc>
          <w:tcPr>
            <w:tcW w:type="dxa" w:w="3408"/>
          </w:tcPr>
          <w:p>
            <w:r>
              <w:t>Evidence limit</w:t>
            </w:r>
          </w:p>
        </w:tc>
        <w:tc>
          <w:tcPr>
            <w:tcW w:type="dxa" w:w="3408"/>
          </w:tcPr>
          <w:p>
            <w:r>
              <w:t>IDs illustrate supplied arrangement</w:t>
            </w:r>
          </w:p>
        </w:tc>
        <w:tc>
          <w:tcPr>
            <w:tcW w:type="dxa" w:w="3408"/>
          </w:tcPr>
          <w:p>
            <w:r>
              <w:t>No labels or independent sampling inferred</w:t>
            </w:r>
          </w:p>
        </w:tc>
      </w:tr>
    </w:tbl>
    <w:p>
      <w:pPr>
        <w:spacing w:line="336" w:lineRule="auto" w:after="180"/>
      </w:pPr>
      <w:r>
        <w:rPr>
          <w:b w:val="0"/>
        </w:rPr>
        <w:t>Main: ten rows consist of three copies of one source plus seven other distinct sources, giving eight source IDs and two extra rows beyond one per source. Do not call those eight statistically independent merely because IDs differ. No per-source labels are supplied, so no deduplicated accuracy can be calculated. Picture: indoor 9/10 = 90%; original outdoor performance is unknown.</w:t>
      </w:r>
    </w:p>
    <w:p>
      <w:pPr>
        <w:spacing w:line="336" w:lineRule="auto" w:after="180"/>
      </w:pPr>
      <w:r>
        <w:rPr>
          <w:b w:val="0"/>
        </w:rPr>
        <w:t>Added outdoor 2/4 = 50%; pooled 11/14 ≈ 78.6% is a different quantity. Independent twelve-row case: four copies of one source plus eight others give nine distinct source units and three extra rows. A valid coverage concern names an unassessed setting, source population or label property without pretending it has been measured. No actual photo study or population certainty follows.</w:t>
      </w:r>
    </w:p>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Eight unique source units, not ten independent sources. Identify duplicate weighting before analysis; do not silently discard results.</w:t>
      </w:r>
    </w:p>
    <w:p>
      <w:pPr>
        <w:spacing w:line="336" w:lineRule="auto" w:after="180"/>
      </w:pPr>
      <w:r>
        <w:rPr>
          <w:b w:val="0"/>
        </w:rPr>
        <w:t xml:space="preserve">Qualification: </w:t>
      </w:r>
      <w:r>
        <w:rPr>
          <w:b/>
        </w:rPr>
        <w:t>Benchmark</w:t>
      </w:r>
      <w:r>
        <w:rPr>
          <w:b w:val="0"/>
        </w:rPr>
        <w:t xml:space="preserve"> success does not establish performance on a deployment population missing from its design.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 xml:space="preserve">Ten </w:t>
      </w:r>
      <w:r>
        <w:rPr>
          <w:b/>
        </w:rPr>
        <w:t>benchmark</w:t>
      </w:r>
      <w:r>
        <w:rPr>
          <w:b w:val="0"/>
        </w:rPr>
        <w:t xml:space="preserve"> rows include three copies of one source and seven other unique sources.</w:t>
      </w:r>
    </w:p>
    <w:p>
      <w:pPr>
        <w:spacing w:line="336" w:lineRule="auto" w:after="180"/>
      </w:pPr>
      <w:r>
        <w:rPr>
          <w:b w:val="0"/>
        </w:rPr>
        <w:t>Eight unique source units, not ten independent sources. Identify duplicate weighting before analysis; do not silently discard results.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Identity and coverage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Benchmark audit</w:t>
            </w:r>
          </w:p>
        </w:tc>
        <w:tc>
          <w:tcPr>
            <w:tcW w:type="dxa" w:w="5112"/>
          </w:tcPr>
          <w:p>
            <w:r>
              <w:t>Checked interpretation</w:t>
            </w:r>
          </w:p>
        </w:tc>
      </w:tr>
      <w:tr>
        <w:tc>
          <w:tcPr>
            <w:tcW w:type="dxa" w:w="5112"/>
          </w:tcPr>
          <w:p>
            <w:r>
              <w:t>Three copies of one source plus seven others</w:t>
            </w:r>
          </w:p>
        </w:tc>
        <w:tc>
          <w:tcPr>
            <w:tcW w:type="dxa" w:w="5112"/>
          </w:tcPr>
          <w:p>
            <w:r>
              <w:t>Eight source IDs, not ten independent sources</w:t>
            </w:r>
          </w:p>
        </w:tc>
      </w:tr>
      <w:tr>
        <w:tc>
          <w:tcPr>
            <w:tcW w:type="dxa" w:w="5112"/>
          </w:tcPr>
          <w:p>
            <w:r>
              <w:t>Three copies</w:t>
            </w:r>
          </w:p>
        </w:tc>
        <w:tc>
          <w:tcPr>
            <w:tcW w:type="dxa" w:w="5112"/>
          </w:tcPr>
          <w:p>
            <w:r>
              <w:t>Two extra rows beyond one copy, not three extra rows</w:t>
            </w:r>
          </w:p>
        </w:tc>
      </w:tr>
      <w:tr>
        <w:tc>
          <w:tcPr>
            <w:tcW w:type="dxa" w:w="5112"/>
          </w:tcPr>
          <w:p>
            <w:r>
              <w:t>Source IDs differ</w:t>
            </w:r>
          </w:p>
        </w:tc>
        <w:tc>
          <w:tcPr>
            <w:tcW w:type="dxa" w:w="5112"/>
          </w:tcPr>
          <w:p>
            <w:r>
              <w:t>Identity distinction does not prove sampling independence</w:t>
            </w:r>
          </w:p>
        </w:tc>
      </w:tr>
      <w:tr>
        <w:tc>
          <w:tcPr>
            <w:tcW w:type="dxa" w:w="5112"/>
          </w:tcPr>
          <w:p>
            <w:r>
              <w:t>No outcome labels supplied per source</w:t>
            </w:r>
          </w:p>
        </w:tc>
        <w:tc>
          <w:tcPr>
            <w:tcW w:type="dxa" w:w="5112"/>
          </w:tcPr>
          <w:p>
            <w:r>
              <w:t>Do not calculate an invented deduplicated accuracy</w:t>
            </w:r>
          </w:p>
        </w:tc>
      </w:tr>
      <w:tr>
        <w:tc>
          <w:tcPr>
            <w:tcW w:type="dxa" w:w="5112"/>
          </w:tcPr>
          <w:p>
            <w:r>
              <w:t>Exclude duplicates after inspecting outcomes</w:t>
            </w:r>
          </w:p>
        </w:tc>
        <w:tc>
          <w:tcPr>
            <w:tcW w:type="dxa" w:w="5112"/>
          </w:tcPr>
          <w:p>
            <w:r>
              <w:t>Disclose analysis change; preserve original results and declared unit rule</w:t>
            </w:r>
          </w:p>
        </w:tc>
      </w:tr>
      <w:tr>
        <w:tc>
          <w:tcPr>
            <w:tcW w:type="dxa" w:w="5112"/>
          </w:tcPr>
          <w:p>
            <w:r>
              <w:t>No outdoor cases</w:t>
            </w:r>
          </w:p>
        </w:tc>
        <w:tc>
          <w:tcPr>
            <w:tcW w:type="dxa" w:w="5112"/>
          </w:tcPr>
          <w:p>
            <w:r>
              <w:t>Unknown performance, not zero accuracy</w:t>
            </w:r>
          </w:p>
        </w:tc>
      </w:tr>
      <w:tr>
        <w:tc>
          <w:tcPr>
            <w:tcW w:type="dxa" w:w="5112"/>
          </w:tcPr>
          <w:p>
            <w:r>
              <w:t>Outdoor 2/4 and pooled 11/14</w:t>
            </w:r>
          </w:p>
        </w:tc>
        <w:tc>
          <w:tcPr>
            <w:tcW w:type="dxa" w:w="5112"/>
          </w:tcPr>
          <w:p>
            <w:r>
              <w:t>Different denominators and target descriptions</w:t>
            </w:r>
          </w:p>
        </w:tc>
      </w:tr>
      <w:tr>
        <w:tc>
          <w:tcPr>
            <w:tcW w:type="dxa" w:w="5112"/>
          </w:tcPr>
          <w:p>
            <w:r>
              <w:t>High indoor result</w:t>
            </w:r>
          </w:p>
        </w:tc>
        <w:tc>
          <w:tcPr>
            <w:tcW w:type="dxa" w:w="5112"/>
          </w:tcPr>
          <w:p>
            <w:r>
              <w:t>No automatic outdoor-fitness conclusion</w:t>
            </w:r>
          </w:p>
        </w:tc>
      </w:tr>
      <w:tr>
        <w:tc>
          <w:tcPr>
            <w:tcW w:type="dxa" w:w="5112"/>
          </w:tcPr>
          <w:p>
            <w:r>
              <w:t>Observed slice difference</w:t>
            </w:r>
          </w:p>
        </w:tc>
        <w:tc>
          <w:tcPr>
            <w:tcW w:type="dxa" w:w="5112"/>
          </w:tcPr>
          <w:p>
            <w:r>
              <w:t>Does not by itself establish cause or significance</w:t>
            </w:r>
          </w:p>
        </w:tc>
      </w:tr>
    </w:tbl>
    <w:p>
      <w:pPr>
        <w:pStyle w:val="Heading2"/>
      </w:pPr>
      <w:r>
        <w:t>Separate photo settings and native coverage chart</w:t>
      </w:r>
    </w:p>
    <w:p>
      <w:pPr>
        <w:spacing w:line="336" w:lineRule="auto" w:after="180"/>
      </w:pPr>
      <w:r>
        <w:rPr>
          <w:b w:val="0"/>
        </w:rPr>
        <w:t xml:space="preserve">A </w:t>
      </w:r>
      <w:r>
        <w:rPr>
          <w:b/>
        </w:rPr>
        <w:t>benchmark</w:t>
      </w:r>
      <w:r>
        <w:rPr>
          <w:b w:val="0"/>
        </w:rPr>
        <w:t xml:space="preserve"> can miss the intended setting. A plant model is evaluated on clean indoor photos but proposed for shaded outdoor photos.</w:t>
      </w:r>
    </w:p>
    <w:p>
      <w:pPr>
        <w:spacing w:line="336" w:lineRule="auto" w:after="180"/>
      </w:pPr>
      <w:r>
        <w:rPr>
          <w:b w:val="0"/>
        </w:rPr>
        <w:t xml:space="preserve">Indoor </w:t>
      </w:r>
      <w:r>
        <w:rPr>
          <w:b/>
        </w:rPr>
        <w:t>benchmark</w:t>
      </w:r>
      <w:r>
        <w:rPr>
          <w:b w:val="0"/>
        </w:rPr>
        <w:t>: 9/10 correct. No outdoor cases are present. The same model is intended for both.</w:t>
      </w:r>
    </w:p>
    <w:p>
      <w:pPr>
        <w:spacing w:line="336" w:lineRule="auto" w:after="180"/>
      </w:pPr>
      <w:r>
        <w:rPr>
          <w:b w:val="0"/>
        </w:rPr>
        <w:t>The picture’s original ten photos are all clean indoor images: nine correct gives 90% on that supplied slice. There are no outdoor cases, so outdoor accuracy is unmeasured. In the changed teaching scenario, four reserved outdoor cases are supplied and two are correct, giving 50% for that slice. Pooling both settings gives 11/14, approximately 78.6%, but that pooled rate is not outdoor performance.</w:t>
      </w:r>
    </w:p>
    <w:p>
      <w:pPr>
        <w:spacing w:line="336" w:lineRule="auto" w:after="180"/>
      </w:pPr>
      <w:r>
        <w:rPr>
          <w:b w:val="0"/>
        </w:rPr>
        <w:t>The lower observed outdoor slice does not identify the cause, establish significance or prove all future outdoor images will behave similarly. No new photos or model outputs were actually collected for this lesson.</w:t>
      </w:r>
    </w:p>
    <w:p>
      <w:r>
        <w:drawing>
          <wp:inline xmlns:a="http://schemas.openxmlformats.org/drawingml/2006/main" xmlns:pic="http://schemas.openxmlformats.org/drawingml/2006/picture">
            <wp:extent cx="5486400" cy="3029913"/>
            <wp:docPr id="1" name="Picture 1" descr="Indoor benchmark has nine correct of ten, or ninety percent. Outdoor shade initially has no measured cases, so performance is unknown. Changed scenario supplies two correct of four outdoor cases, or fifty percent; pooling gives eleven of fourteen, approximately seventy-eight point six percent, which is not the outdoor rate."/>
            <wp:cNvGraphicFramePr>
              <a:graphicFrameLocks noChangeAspect="1"/>
            </wp:cNvGraphicFramePr>
            <a:graphic>
              <a:graphicData uri="http://schemas.openxmlformats.org/drawingml/2006/picture">
                <pic:pic>
                  <pic:nvPicPr>
                    <pic:cNvPr id="0" name="ai-7-18-benchmark-coverage.png"/>
                    <pic:cNvPicPr/>
                  </pic:nvPicPr>
                  <pic:blipFill>
                    <a:blip r:embed="rId9"/>
                    <a:stretch>
                      <a:fillRect/>
                    </a:stretch>
                  </pic:blipFill>
                  <pic:spPr>
                    <a:xfrm>
                      <a:off x="0" y="0"/>
                      <a:ext cx="5486400" cy="302991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Setting</w:t>
            </w:r>
          </w:p>
        </w:tc>
        <w:tc>
          <w:tcPr>
            <w:tcW w:type="dxa" w:w="3408"/>
          </w:tcPr>
          <w:p>
            <w:r>
              <w:t>Original supplied evidence</w:t>
            </w:r>
          </w:p>
        </w:tc>
        <w:tc>
          <w:tcPr>
            <w:tcW w:type="dxa" w:w="3408"/>
          </w:tcPr>
          <w:p>
            <w:r>
              <w:t>Changed supplied evidence</w:t>
            </w:r>
          </w:p>
        </w:tc>
      </w:tr>
      <w:tr>
        <w:tc>
          <w:tcPr>
            <w:tcW w:type="dxa" w:w="3408"/>
          </w:tcPr>
          <w:p>
            <w:r>
              <w:t>Indoor</w:t>
            </w:r>
          </w:p>
        </w:tc>
        <w:tc>
          <w:tcPr>
            <w:tcW w:type="dxa" w:w="3408"/>
          </w:tcPr>
          <w:p>
            <w:r>
              <w:t>9/10 = 90%</w:t>
            </w:r>
          </w:p>
        </w:tc>
        <w:tc>
          <w:tcPr>
            <w:tcW w:type="dxa" w:w="3408"/>
          </w:tcPr>
          <w:p>
            <w:r>
              <w:t>Unchanged 9/10 = 90%</w:t>
            </w:r>
          </w:p>
        </w:tc>
      </w:tr>
      <w:tr>
        <w:tc>
          <w:tcPr>
            <w:tcW w:type="dxa" w:w="3408"/>
          </w:tcPr>
          <w:p>
            <w:r>
              <w:t>Outdoor shade</w:t>
            </w:r>
          </w:p>
        </w:tc>
        <w:tc>
          <w:tcPr>
            <w:tcW w:type="dxa" w:w="3408"/>
          </w:tcPr>
          <w:p>
            <w:r>
              <w:t>No cases; rate unknown</w:t>
            </w:r>
          </w:p>
        </w:tc>
        <w:tc>
          <w:tcPr>
            <w:tcW w:type="dxa" w:w="3408"/>
          </w:tcPr>
          <w:p>
            <w:r>
              <w:t>2/4 = 50%</w:t>
            </w:r>
          </w:p>
        </w:tc>
      </w:tr>
      <w:tr>
        <w:tc>
          <w:tcPr>
            <w:tcW w:type="dxa" w:w="3408"/>
          </w:tcPr>
          <w:p>
            <w:r>
              <w:t>Pooled descriptive rate</w:t>
            </w:r>
          </w:p>
        </w:tc>
        <w:tc>
          <w:tcPr>
            <w:tcW w:type="dxa" w:w="3408"/>
          </w:tcPr>
          <w:p>
            <w:r>
              <w:t>9/10, entirely indoor</w:t>
            </w:r>
          </w:p>
        </w:tc>
        <w:tc>
          <w:tcPr>
            <w:tcW w:type="dxa" w:w="3408"/>
          </w:tcPr>
          <w:p>
            <w:r>
              <w:t>11/14 ≈ 78.6%</w:t>
            </w:r>
          </w:p>
        </w:tc>
      </w:tr>
      <w:tr>
        <w:tc>
          <w:tcPr>
            <w:tcW w:type="dxa" w:w="3408"/>
          </w:tcPr>
          <w:p>
            <w:r>
              <w:t>Appropriate outdoor report</w:t>
            </w:r>
          </w:p>
        </w:tc>
        <w:tc>
          <w:tcPr>
            <w:tcW w:type="dxa" w:w="3408"/>
          </w:tcPr>
          <w:p>
            <w:r>
              <w:t>Unmeasured</w:t>
            </w:r>
          </w:p>
        </w:tc>
        <w:tc>
          <w:tcPr>
            <w:tcW w:type="dxa" w:w="3408"/>
          </w:tcPr>
          <w:p>
            <w:r>
              <w:t>2/4 in the supplied outdoor slice</w:t>
            </w:r>
          </w:p>
        </w:tc>
      </w:tr>
      <w:tr>
        <w:tc>
          <w:tcPr>
            <w:tcW w:type="dxa" w:w="3408"/>
          </w:tcPr>
          <w:p>
            <w:r>
              <w:t>Unsupported extension</w:t>
            </w:r>
          </w:p>
        </w:tc>
        <w:tc>
          <w:tcPr>
            <w:tcW w:type="dxa" w:w="3408"/>
          </w:tcPr>
          <w:p>
            <w:r>
              <w:t>Assume outdoor also 90%</w:t>
            </w:r>
          </w:p>
        </w:tc>
        <w:tc>
          <w:tcPr>
            <w:tcW w:type="dxa" w:w="3408"/>
          </w:tcPr>
          <w:p>
            <w:r>
              <w:t>Use pooled 78.6% as outdoor accuracy</w:t>
            </w:r>
          </w:p>
        </w:tc>
      </w:tr>
      <w:tr>
        <w:tc>
          <w:tcPr>
            <w:tcW w:type="dxa" w:w="3408"/>
          </w:tcPr>
          <w:p>
            <w:r>
              <w:t>Remaining limits</w:t>
            </w:r>
          </w:p>
        </w:tc>
        <w:tc>
          <w:tcPr>
            <w:tcW w:type="dxa" w:w="3408"/>
          </w:tcPr>
          <w:p>
            <w:r>
              <w:t>Coverage absent</w:t>
            </w:r>
          </w:p>
        </w:tc>
        <w:tc>
          <w:tcPr>
            <w:tcW w:type="dxa" w:w="3408"/>
          </w:tcPr>
          <w:p>
            <w:r>
              <w:t>Small slice, sampling and labels still need inspection</w:t>
            </w:r>
          </w:p>
        </w:tc>
      </w:tr>
    </w:tbl>
    <w:p>
      <w:pPr>
        <w:pStyle w:val="Heading2"/>
      </w:pPr>
      <w:r>
        <w:t>Picture trace and changed outdoor key</w:t>
      </w:r>
    </w:p>
    <w:p>
      <w:r>
        <w:drawing>
          <wp:inline xmlns:a="http://schemas.openxmlformats.org/drawingml/2006/main" xmlns:pic="http://schemas.openxmlformats.org/drawingml/2006/picture">
            <wp:extent cx="5486400" cy="3182112"/>
            <wp:docPr id="2" name="Picture 2" descr="Name measured setting: All ten benchmark images are clean indoor photos. → Report the result: The observed indoor score is 90%. → Name missing evidence: Outdoor shade performance remains unmeasured."/>
            <wp:cNvGraphicFramePr>
              <a:graphicFrameLocks noChangeAspect="1"/>
            </wp:cNvGraphicFramePr>
            <a:graphic>
              <a:graphicData uri="http://schemas.openxmlformats.org/drawingml/2006/picture">
                <pic:pic>
                  <pic:nvPicPr>
                    <pic:cNvPr id="0" name="academy-story-ai-7-18-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measured setting</w:t>
            </w:r>
          </w:p>
        </w:tc>
        <w:tc>
          <w:tcPr>
            <w:tcW w:type="dxa" w:w="5112"/>
          </w:tcPr>
          <w:p>
            <w:r>
              <w:t>All ten benchmark images are clean indoor photos.</w:t>
            </w:r>
          </w:p>
        </w:tc>
      </w:tr>
      <w:tr>
        <w:tc>
          <w:tcPr>
            <w:tcW w:type="dxa" w:w="5112"/>
          </w:tcPr>
          <w:p>
            <w:r>
              <w:t>2. Report the result</w:t>
            </w:r>
          </w:p>
        </w:tc>
        <w:tc>
          <w:tcPr>
            <w:tcW w:type="dxa" w:w="5112"/>
          </w:tcPr>
          <w:p>
            <w:r>
              <w:t>The observed indoor score is 90%.</w:t>
            </w:r>
          </w:p>
        </w:tc>
      </w:tr>
      <w:tr>
        <w:tc>
          <w:tcPr>
            <w:tcW w:type="dxa" w:w="5112"/>
          </w:tcPr>
          <w:p>
            <w:r>
              <w:t>3. Name missing evidence</w:t>
            </w:r>
          </w:p>
        </w:tc>
        <w:tc>
          <w:tcPr>
            <w:tcW w:type="dxa" w:w="5112"/>
          </w:tcPr>
          <w:p>
            <w:r>
              <w:t>Outdoor shade performance remains unmeasured.</w:t>
            </w:r>
          </w:p>
        </w:tc>
      </w:tr>
    </w:tbl>
    <w:p>
      <w:r>
        <w:t>Match each pictured step to the supplied facts. This is a worked teaching case, not an independent assessment.</w:t>
      </w:r>
    </w:p>
    <w:p>
      <w:pPr>
        <w:spacing w:line="336" w:lineRule="auto" w:after="180"/>
      </w:pPr>
      <w:r>
        <w:rPr>
          <w:b w:val="0"/>
        </w:rPr>
        <w:t xml:space="preserve">A </w:t>
      </w:r>
      <w:r>
        <w:rPr>
          <w:b/>
        </w:rPr>
        <w:t>benchmark</w:t>
      </w:r>
      <w:r>
        <w:rPr>
          <w:b w:val="0"/>
        </w:rPr>
        <w:t xml:space="preserve"> represents particular tasks and collection conditions. High performance on it cannot automatically establish fitness for a different deployment setting.</w:t>
      </w:r>
    </w:p>
    <w:p>
      <w:pPr>
        <w:spacing w:line="336" w:lineRule="auto" w:after="180"/>
      </w:pPr>
      <w:r>
        <w:rPr>
          <w:b w:val="0"/>
        </w:rPr>
        <w:t>Neither slice estimates all future photos; inspect sampling, labels and grouping.</w:t>
      </w:r>
    </w:p>
    <w:p>
      <w:pPr>
        <w:spacing w:line="336" w:lineRule="auto" w:after="180"/>
      </w:pPr>
      <w:r>
        <w:rPr>
          <w:b w:val="0"/>
        </w:rPr>
        <w:t>Change: Add four reserved outdoor cases, of which two are correct.</w:t>
      </w:r>
    </w:p>
    <w:p>
      <w:pPr>
        <w:spacing w:line="336" w:lineRule="auto" w:after="180"/>
      </w:pPr>
      <w:r>
        <w:rPr>
          <w:b/>
        </w:rPr>
        <w:t>Prediction</w:t>
      </w:r>
      <w:r>
        <w:rPr>
          <w:b w:val="0"/>
        </w:rPr>
        <w:t>: Report the outdoor slice as 2/4=50%, separately from indoor results.</w:t>
      </w:r>
    </w:p>
    <w:p>
      <w:pPr>
        <w:spacing w:line="336" w:lineRule="auto" w:after="180"/>
      </w:pPr>
      <w:r>
        <w:rPr>
          <w:b w:val="0"/>
        </w:rPr>
        <w:t>Reason: The new records finally measure the missing condition, with a small denominator.</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Benchmark</w:t>
            </w:r>
          </w:p>
        </w:tc>
        <w:tc>
          <w:tcPr>
            <w:tcW w:type="dxa" w:w="5112"/>
          </w:tcPr>
          <w:p>
            <w:r>
              <w:t>A declared task dataset and scoring procedure</w:t>
            </w:r>
          </w:p>
        </w:tc>
      </w:tr>
      <w:tr>
        <w:tc>
          <w:tcPr>
            <w:tcW w:type="dxa" w:w="5112"/>
          </w:tcPr>
          <w:p>
            <w:r>
              <w:t>Duplicate unit</w:t>
            </w:r>
          </w:p>
        </w:tc>
        <w:tc>
          <w:tcPr>
            <w:tcW w:type="dxa" w:w="5112"/>
          </w:tcPr>
          <w:p>
            <w:r>
              <w:t>Repeated representation of the same underlying entity</w:t>
            </w:r>
          </w:p>
        </w:tc>
      </w:tr>
      <w:tr>
        <w:tc>
          <w:tcPr>
            <w:tcW w:type="dxa" w:w="5112"/>
          </w:tcPr>
          <w:p>
            <w:r>
              <w:t>Coverage gap</w:t>
            </w:r>
          </w:p>
        </w:tc>
        <w:tc>
          <w:tcPr>
            <w:tcW w:type="dxa" w:w="5112"/>
          </w:tcPr>
          <w:p>
            <w:r>
              <w:t>A relevant condition absent from evaluated data</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Dataset and benchmark limitations</w:t>
      </w:r>
    </w:p>
    <w:p>
      <w:pPr>
        <w:pStyle w:val="Heading3"/>
      </w:pPr>
      <w:r>
        <w:t>The facts we will use</w:t>
      </w:r>
    </w:p>
    <w:p>
      <w:r>
        <w:drawing>
          <wp:inline xmlns:a="http://schemas.openxmlformats.org/drawingml/2006/main" xmlns:pic="http://schemas.openxmlformats.org/drawingml/2006/picture">
            <wp:extent cx="5486400" cy="3077029"/>
            <wp:docPr id="3" name="Picture 3"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4" name="Picture 4"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Ten </w:t>
      </w:r>
      <w:r>
        <w:rPr>
          <w:b/>
        </w:rPr>
        <w:t>benchmark</w:t>
      </w:r>
      <w:r>
        <w:rPr>
          <w:b w:val="0"/>
        </w:rPr>
        <w:t xml:space="preserve"> rows include three copies of one source and seven other unique sources. Show the intermediate steps and give the conclusion with its scope.</w:t>
      </w:r>
    </w:p>
    <w:p>
      <w:pPr>
        <w:spacing w:line="336" w:lineRule="auto" w:after="180"/>
      </w:pPr>
      <w:r>
        <w:rPr>
          <w:b w:val="0"/>
        </w:rPr>
        <w:t>Teacher check: Teacher explanation: Eight unique source units, not ten independent sources. Identify duplicate weighting before analysis; do not silently discard results.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Dataset and </w:t>
      </w:r>
      <w:r>
        <w:rPr>
          <w:b/>
        </w:rPr>
        <w:t>benchmark</w:t>
      </w:r>
      <w:r>
        <w:rPr>
          <w:b w:val="0"/>
        </w:rPr>
        <w:t xml:space="preserve"> limitations.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Benchmark</w:t>
      </w:r>
      <w:r>
        <w:rPr>
          <w:b w:val="0"/>
        </w:rPr>
        <w:t xml:space="preserve"> success does not establish performance on a deployment population missing from its design.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Report the indoor </w:t>
      </w:r>
      <w:r>
        <w:rPr>
          <w:b/>
        </w:rPr>
        <w:t>benchmark</w:t>
      </w:r>
      <w:r>
        <w:rPr>
          <w:b w:val="0"/>
        </w:rPr>
        <w:t xml:space="preserve"> with its denominator and missing condition. After two correct outdoor cases out of four are added, what slice rate is supported and what remains uncertain?</w:t>
      </w:r>
    </w:p>
    <w:p>
      <w:pPr>
        <w:spacing w:line="336" w:lineRule="auto" w:after="180"/>
      </w:pPr>
      <w:r>
        <w:rPr>
          <w:b w:val="0"/>
        </w:rPr>
        <w:t xml:space="preserve">All ten </w:t>
      </w:r>
      <w:r>
        <w:rPr>
          <w:b/>
        </w:rPr>
        <w:t>benchmark</w:t>
      </w:r>
      <w:r>
        <w:rPr>
          <w:b w:val="0"/>
        </w:rPr>
        <w:t xml:space="preserve"> images are clean indoor photos. The observed indoor score is 90%. Outdoor shade performance remains unmeasured. Changed case: Report the outdoor slice as 2/4=50%, separately from indoor results.</w:t>
      </w:r>
    </w:p>
    <w:p>
      <w:pPr>
        <w:spacing w:line="336" w:lineRule="auto" w:after="180"/>
      </w:pPr>
      <w:r>
        <w:rPr>
          <w:b w:val="0"/>
        </w:rPr>
        <w:t>The new records finally measure the missing condition, with a small denominator.</w:t>
      </w:r>
    </w:p>
    <w:p>
      <w:pPr>
        <w:spacing w:line="336" w:lineRule="auto" w:after="180"/>
      </w:pPr>
      <w:r>
        <w:rPr>
          <w:b w:val="0"/>
        </w:rPr>
        <w:t>Changed-case reasoning: Report the outdoor slice as 2/4=50%, separately from indoor results. The new records finally measure the missing condition, with a small denominator.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ten rows have eight source IDs, with a repeated-source weight of three and two extra rows. Picture indoor 9/10 and added outdoor 2/4 use different slice denominators; pooled 11/14 is not outdoor accuracy. Independent twelve rows with four copies of one source plus eight others give nine source IDs and three extra rows.</w:t>
      </w:r>
    </w:p>
    <w:p>
      <w:pPr>
        <w:spacing w:line="336" w:lineRule="auto" w:after="180"/>
      </w:pPr>
      <w:r>
        <w:rPr>
          <w:b w:val="0"/>
        </w:rPr>
        <w:t>Require a concrete coverage concern, without asserting source independence or inventing missing labels/outcomes.</w:t>
      </w:r>
    </w:p>
    <w:p>
      <w:pPr>
        <w:pStyle w:val="Heading2"/>
      </w:pPr>
      <w:r>
        <w:t>Diagnose the current misconceptions</w:t>
      </w:r>
    </w:p>
    <w:p>
      <w:pPr>
        <w:spacing w:line="336" w:lineRule="auto" w:after="180"/>
      </w:pPr>
      <w:r>
        <w:rPr>
          <w:b w:val="0"/>
        </w:rPr>
        <w:t xml:space="preserve">The worked result establishes every future case: </w:t>
      </w:r>
      <w:r>
        <w:rPr>
          <w:b/>
        </w:rPr>
        <w:t>Benchmark</w:t>
      </w:r>
      <w:r>
        <w:rPr>
          <w:b w:val="0"/>
        </w:rPr>
        <w:t xml:space="preserve"> success does not establish performance on a deployment population missing from its design.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Twelve rows include four copies of one source and eight others. Count unique units and name one coverage concern.</w:t>
      </w:r>
    </w:p>
    <w:p>
      <w:pPr>
        <w:spacing w:line="336" w:lineRule="auto" w:after="180"/>
      </w:pPr>
      <w:r>
        <w:rPr>
          <w:b w:val="0"/>
        </w:rPr>
        <w:t>Teacher explanation: Nine unique units. Check whether cases represent requested time, groups and tasks; row count alone does not answer coverage.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w:t>
      </w:r>
      <w:r>
        <w:rPr>
          <w:b/>
        </w:rPr>
        <w:t>benchmark</w:t>
      </w:r>
      <w:r>
        <w:rPr>
          <w:b w:val="0"/>
        </w:rPr>
        <w:t xml:space="preserve"> measures performance on its particular data and labels. Duplicates, obsolete cases or poor coverage can weaken claims.</w:t>
      </w:r>
    </w:p>
    <w:p>
      <w:pPr>
        <w:spacing w:line="336" w:lineRule="auto" w:after="180"/>
      </w:pPr>
      <w:r>
        <w:rPr>
          <w:b w:val="0"/>
        </w:rPr>
        <w:t>Inspect eligibility, source dates, related units and label definitions before scoring. Deduplicate by declared unit identity, not merely file name; report excluded and unassessed cases.</w:t>
      </w:r>
    </w:p>
    <w:p>
      <w:pPr>
        <w:pStyle w:val="Heading2"/>
      </w:pPr>
      <w:r>
        <w:t>W2 Trace the worked case</w:t>
      </w:r>
    </w:p>
    <w:p>
      <w:pPr>
        <w:spacing w:line="336" w:lineRule="auto" w:after="180"/>
      </w:pPr>
      <w:r>
        <w:rPr>
          <w:b w:val="0"/>
        </w:rPr>
        <w:t xml:space="preserve">Ten </w:t>
      </w:r>
      <w:r>
        <w:rPr>
          <w:b/>
        </w:rPr>
        <w:t>benchmark</w:t>
      </w:r>
      <w:r>
        <w:rPr>
          <w:b w:val="0"/>
        </w:rPr>
        <w:t xml:space="preserve"> rows include three copies of one source and seven other unique sources. Show the intermediate steps and give the conclusion with its scope.</w:t>
      </w:r>
    </w:p>
    <w:p>
      <w:pPr>
        <w:spacing w:line="336" w:lineRule="auto" w:after="180"/>
      </w:pPr>
      <w:r>
        <w:rPr>
          <w:b w:val="0"/>
        </w:rPr>
        <w:t>Teacher explanation: Eight unique source units, not ten independent sources. Identify duplicate weighting before analysis; do not silently discard results.</w:t>
      </w:r>
    </w:p>
    <w:p>
      <w:pPr>
        <w:pStyle w:val="Heading2"/>
      </w:pPr>
      <w:r>
        <w:t>W3 Audit the limit</w:t>
      </w:r>
    </w:p>
    <w:p>
      <w:pPr>
        <w:spacing w:line="336" w:lineRule="auto" w:after="180"/>
      </w:pPr>
      <w:r>
        <w:rPr>
          <w:b w:val="0"/>
        </w:rPr>
        <w:t xml:space="preserve">A report omits this qualification: </w:t>
      </w:r>
      <w:r>
        <w:rPr>
          <w:b/>
        </w:rPr>
        <w:t>Benchmark</w:t>
      </w:r>
      <w:r>
        <w:rPr>
          <w:b w:val="0"/>
        </w:rPr>
        <w:t xml:space="preserve"> success does not establish performance on a deployment population missing from its design.</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w:t>
      </w:r>
      <w:r>
        <w:rPr>
          <w:b/>
        </w:rPr>
        <w:t>Benchmark</w:t>
      </w:r>
      <w:r>
        <w:rPr>
          <w:b w:val="0"/>
        </w:rPr>
        <w:t xml:space="preserve"> success does not establish performance on a deployment population missing from its design.</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w:t>
      </w:r>
      <w:r>
        <w:rPr>
          <w:b/>
        </w:rPr>
        <w:t>Benchmark</w:t>
      </w:r>
      <w:r>
        <w:rPr>
          <w:b w:val="0"/>
        </w:rPr>
        <w:t xml:space="preserve"> success does not establish performance on a deployment population missing from its design.</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Eight unique source units, not ten independent sources. Identify duplicate weighting before analysis; do not silently discard results.</w:t>
      </w:r>
    </w:p>
    <w:p>
      <w:pPr>
        <w:spacing w:line="336" w:lineRule="auto" w:after="180"/>
      </w:pPr>
      <w:r>
        <w:rPr>
          <w:b w:val="0"/>
        </w:rPr>
        <w:t xml:space="preserve">Qualification: </w:t>
      </w:r>
      <w:r>
        <w:rPr>
          <w:b/>
        </w:rPr>
        <w:t>Benchmark</w:t>
      </w:r>
      <w:r>
        <w:rPr>
          <w:b w:val="0"/>
        </w:rPr>
        <w:t xml:space="preserve"> success does not establish performance on a deployment population missing from its design.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Twelve rows include four copies of one source and eight others. Count unique units and name one coverage concern.</w:t>
      </w:r>
    </w:p>
    <w:p>
      <w:pPr>
        <w:spacing w:line="336" w:lineRule="auto" w:after="180"/>
      </w:pPr>
      <w:r>
        <w:rPr>
          <w:b w:val="0"/>
        </w:rPr>
        <w:t>Teacher explanation: Nine unique units. Check whether cases represent requested time, groups and tasks; row count alone does not answer coverage.</w:t>
      </w:r>
    </w:p>
    <w:p>
      <w:pPr>
        <w:pStyle w:val="Heading3"/>
      </w:pPr>
      <w:r>
        <w:t>W5 Design a revealing follow-up</w:t>
      </w:r>
    </w:p>
    <w:p>
      <w:pPr>
        <w:pStyle w:val="Heading3"/>
      </w:pPr>
      <w:r>
        <w:t>Independent assessment and fresh retry</w:t>
      </w:r>
    </w:p>
    <w:p>
      <w:pPr>
        <w:spacing w:line="336" w:lineRule="auto" w:after="180"/>
      </w:pPr>
      <w:r>
        <w:rPr>
          <w:b w:val="0"/>
        </w:rPr>
        <w:t>W4: Nine unique units. Check whether cases represent requested time, groups and tasks; row count alone does not answer coverage. Require intermediate reasoning and the stated scope.</w:t>
      </w:r>
    </w:p>
    <w:p>
      <w:pPr>
        <w:spacing w:line="336" w:lineRule="auto" w:after="180"/>
      </w:pPr>
      <w:r>
        <w:rPr>
          <w:b w:val="0"/>
        </w:rPr>
        <w:t>Fresh retry: Eight rows include two copies of a single source and six others. Expected reasoning: Seven unique units. Report duplicate policy and original row inventory.</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dataset and </w:t>
      </w:r>
      <w:r>
        <w:rPr>
          <w:b/>
        </w:rPr>
        <w:t>benchmark</w:t>
      </w:r>
      <w:r>
        <w:rPr>
          <w:b w:val="0"/>
        </w:rPr>
        <w:t xml:space="preserve"> limitations </w:t>
      </w:r>
      <w:r>
        <w:rPr>
          <w:b/>
        </w:rPr>
        <w:t>evidence</w:t>
      </w:r>
      <w:r>
        <w:rPr>
          <w:b w:val="0"/>
        </w:rPr>
        <w:t xml:space="preserve"> sheet to Reproducible AI Research Study. Show how you can explain the </w:t>
      </w:r>
      <w:r>
        <w:rPr>
          <w:b/>
        </w:rPr>
        <w:t>mechanism</w:t>
      </w:r>
      <w:r>
        <w:rPr>
          <w:b w:val="0"/>
        </w:rPr>
        <w:t xml:space="preserve"> and terminology of dataset and </w:t>
      </w:r>
      <w:r>
        <w:rPr>
          <w:b/>
        </w:rPr>
        <w:t>benchmark</w:t>
      </w:r>
      <w:r>
        <w:rPr>
          <w:b w:val="0"/>
        </w:rPr>
        <w:t xml:space="preserve"> limitations.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Research ethics and consent.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ai-7/19, ai-7/21, ai-7/24.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dataset and </w:t>
      </w:r>
      <w:r>
        <w:rPr>
          <w:b/>
        </w:rPr>
        <w:t>benchmark</w:t>
      </w:r>
      <w:r>
        <w:rPr>
          <w:b w:val="0"/>
        </w:rPr>
        <w:t xml:space="preserve"> limitations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Ten </w:t>
      </w:r>
      <w:r>
        <w:rPr>
          <w:b/>
        </w:rPr>
        <w:t>benchmark</w:t>
      </w:r>
      <w:r>
        <w:rPr>
          <w:b w:val="0"/>
        </w:rPr>
        <w:t xml:space="preserve"> rows include three copies of one source and seven other unique sources. Show the intermediate steps and give the conclusion with its scope.</w:t>
      </w:r>
    </w:p>
    <w:p>
      <w:pPr>
        <w:spacing w:line="336" w:lineRule="auto" w:after="180"/>
      </w:pPr>
      <w:r>
        <w:rPr>
          <w:b w:val="0"/>
        </w:rPr>
        <w:t>Reasoned practice answer: Teacher explanation: Eight unique source units, not ten independent sources. Identify duplicate weighting before analysis; do not silently discard results.</w:t>
      </w:r>
    </w:p>
    <w:p>
      <w:pPr>
        <w:spacing w:line="336" w:lineRule="auto" w:after="180"/>
      </w:pPr>
      <w:r>
        <w:rPr>
          <w:b w:val="0"/>
        </w:rPr>
        <w:t xml:space="preserve">Check every learner before discussion: Use the worked case for Dataset and </w:t>
      </w:r>
      <w:r>
        <w:rPr>
          <w:b/>
        </w:rPr>
        <w:t>benchmark</w:t>
      </w:r>
      <w:r>
        <w:rPr>
          <w:b w:val="0"/>
        </w:rPr>
        <w:t xml:space="preserve"> limitations.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Benchmark</w:t>
      </w:r>
      <w:r>
        <w:rPr>
          <w:b w:val="0"/>
        </w:rPr>
        <w:t xml:space="preserve"> success does not establish performance on a deployment population missing from its design.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four reserved outdoor cases, of which two are correct. Require a </w:t>
      </w:r>
      <w:r>
        <w:rPr>
          <w:b/>
        </w:rPr>
        <w:t>prediction</w:t>
      </w:r>
      <w:r>
        <w:rPr>
          <w:b w:val="0"/>
        </w:rPr>
        <w:t xml:space="preserve"> and a reason before comparing. Expected result: Report the outdoor slice as 2/4=50%, separately from indoor results.</w:t>
      </w:r>
    </w:p>
    <w:p>
      <w:pPr>
        <w:spacing w:line="336" w:lineRule="auto" w:after="180"/>
      </w:pPr>
      <w:r>
        <w:rPr>
          <w:b w:val="0"/>
        </w:rPr>
        <w:t>Reason: The new records finally measure the missing condition, with a small denominator.</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Dataset and benchmark limitations: the case</w:t>
      </w:r>
    </w:p>
    <w:p>
      <w:r>
        <w:drawing>
          <wp:inline xmlns:a="http://schemas.openxmlformats.org/drawingml/2006/main" xmlns:pic="http://schemas.openxmlformats.org/drawingml/2006/picture">
            <wp:extent cx="5486400" cy="2834640"/>
            <wp:docPr id="5" name="Picture 5" descr="A benchmark can miss the intended setting. A plant model is evaluated on clean indoor photos but proposed for shaded outdoor photos. Supplied facts: Indoor benchmark: 9/10 correct. No outdoor cases are present. The same model is intended for both."/>
            <wp:cNvGraphicFramePr>
              <a:graphicFrameLocks noChangeAspect="1"/>
            </wp:cNvGraphicFramePr>
            <a:graphic>
              <a:graphicData uri="http://schemas.openxmlformats.org/drawingml/2006/picture">
                <pic:pic>
                  <pic:nvPicPr>
                    <pic:cNvPr id="0" name="academy-story-ai-7-18-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benchmark</w:t>
      </w:r>
      <w:r>
        <w:rPr>
          <w:b w:val="0"/>
        </w:rPr>
        <w:t xml:space="preserve"> can miss the intended setting. A plant model is evaluated on clean indoor photos but proposed for shaded outdoor photos. Supplied facts: Indoor </w:t>
      </w:r>
      <w:r>
        <w:rPr>
          <w:b/>
        </w:rPr>
        <w:t>benchmark</w:t>
      </w:r>
      <w:r>
        <w:rPr>
          <w:b w:val="0"/>
        </w:rPr>
        <w:t>: 9/10 correct. No outdoor cases are present.</w:t>
      </w:r>
    </w:p>
    <w:p>
      <w:pPr>
        <w:spacing w:line="336" w:lineRule="auto" w:after="180"/>
      </w:pPr>
      <w:r>
        <w:rPr>
          <w:b w:val="0"/>
        </w:rPr>
        <w:t>The same model is intended for both.</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Name measured setting: All ten benchmark images are clean indoor photos. → Report the result: The observed indoor score is 90%. → Name missing evidence: Outdoor shade performance remains unmeasured."/>
            <wp:cNvGraphicFramePr>
              <a:graphicFrameLocks noChangeAspect="1"/>
            </wp:cNvGraphicFramePr>
            <a:graphic>
              <a:graphicData uri="http://schemas.openxmlformats.org/drawingml/2006/picture">
                <pic:pic>
                  <pic:nvPicPr>
                    <pic:cNvPr id="0" name="academy-story-ai-7-18-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Name measured setting: All ten </w:t>
      </w:r>
      <w:r>
        <w:rPr>
          <w:b/>
        </w:rPr>
        <w:t>benchmark</w:t>
      </w:r>
      <w:r>
        <w:rPr>
          <w:b w:val="0"/>
        </w:rPr>
        <w:t xml:space="preserve"> images are clean indoor photos. → Report the result: The observed indoor score is 90%. → Name missing </w:t>
      </w:r>
      <w:r>
        <w:rPr>
          <w:b/>
        </w:rPr>
        <w:t>evidence</w:t>
      </w:r>
      <w:r>
        <w:rPr>
          <w:b w:val="0"/>
        </w:rPr>
        <w:t>: Outdoor shade performance remains unmeasured.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Benchmark conditions</w:t>
      </w:r>
    </w:p>
    <w:p>
      <w:r>
        <w:drawing>
          <wp:inline xmlns:a="http://schemas.openxmlformats.org/drawingml/2006/main" xmlns:pic="http://schemas.openxmlformats.org/drawingml/2006/picture">
            <wp:extent cx="5486400" cy="3096768"/>
            <wp:docPr id="7" name="Picture 7" descr="Benchmark conditions. Indoor benchmark: Correct = 9, Total = 10. Added outdoor slice: Correct = 2, Total = 4."/>
            <wp:cNvGraphicFramePr>
              <a:graphicFrameLocks noChangeAspect="1"/>
            </wp:cNvGraphicFramePr>
            <a:graphic>
              <a:graphicData uri="http://schemas.openxmlformats.org/drawingml/2006/picture">
                <pic:pic>
                  <pic:nvPicPr>
                    <pic:cNvPr id="0" name="academy-story-ai-7-18-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rPr>
        <w:t>Benchmark</w:t>
      </w:r>
      <w:r>
        <w:rPr>
          <w:b w:val="0"/>
        </w:rPr>
        <w:t xml:space="preserve"> conditions. Indoor </w:t>
      </w:r>
      <w:r>
        <w:rPr>
          <w:b/>
        </w:rPr>
        <w:t>benchmark</w:t>
      </w:r>
      <w:r>
        <w:rPr>
          <w:b w:val="0"/>
        </w:rPr>
        <w:t>: Correct = 9, Total = 10. Added outdoor slice: Correct = 2, Total = 4.</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Outdoor shade performance remains unmeasured. Changed condition: Add four reserved outdoor cases, of which two are correct. Expected result: Report the outdoor slice as 2/4=50%, separately from indoor results. Reason: The new records finally measure the missing condition, with a small denominator."/>
            <wp:cNvGraphicFramePr>
              <a:graphicFrameLocks noChangeAspect="1"/>
            </wp:cNvGraphicFramePr>
            <a:graphic>
              <a:graphicData uri="http://schemas.openxmlformats.org/drawingml/2006/picture">
                <pic:pic>
                  <pic:nvPicPr>
                    <pic:cNvPr id="0" name="academy-story-ai-7-18-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Outdoor shade performance remains unmeasured. Changed condition: Add four reserved outdoor cases, of which two are correct. Expected result: Report the outdoor slice as 2/4=50%, separately from indoor results.</w:t>
      </w:r>
    </w:p>
    <w:p>
      <w:pPr>
        <w:spacing w:line="336" w:lineRule="auto" w:after="180"/>
      </w:pPr>
      <w:r>
        <w:rPr>
          <w:b w:val="0"/>
        </w:rPr>
        <w:t>Reason: The new records finally measure the missing condition, with a small denominator.</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new records finally measure the missing condition, with a small denominator.</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benchmark represents particular tasks and collection conditions. High performance on it cannot automatically establish fitness for a different deployment setting. Limit: Neither slice estimates all future photos; inspect sampling, labels and grouping."/>
            <wp:cNvGraphicFramePr>
              <a:graphicFrameLocks noChangeAspect="1"/>
            </wp:cNvGraphicFramePr>
            <a:graphic>
              <a:graphicData uri="http://schemas.openxmlformats.org/drawingml/2006/picture">
                <pic:pic>
                  <pic:nvPicPr>
                    <pic:cNvPr id="0" name="academy-story-ai-7-18-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benchmark</w:t>
      </w:r>
      <w:r>
        <w:rPr>
          <w:b w:val="0"/>
        </w:rPr>
        <w:t xml:space="preserve"> represents particular tasks and collection conditions. High performance on it cannot automatically establish fitness for a different deployment setting.</w:t>
      </w:r>
    </w:p>
    <w:p>
      <w:pPr>
        <w:spacing w:line="336" w:lineRule="auto" w:after="180"/>
      </w:pPr>
      <w:r>
        <w:rPr>
          <w:b w:val="0"/>
        </w:rPr>
        <w:t>Limit: Neither slice estimates all future photos; inspect sampling, labels and grouping.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Neither slice estimates all future photos; inspect sampling, labels and grouping.</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Report the indoor benchmark with its denominator and missing condition. After two correct outdoor cases out of four are added, what slice rate is supported and what remains uncertain?"/>
            <wp:cNvGraphicFramePr>
              <a:graphicFrameLocks noChangeAspect="1"/>
            </wp:cNvGraphicFramePr>
            <a:graphic>
              <a:graphicData uri="http://schemas.openxmlformats.org/drawingml/2006/picture">
                <pic:pic>
                  <pic:nvPicPr>
                    <pic:cNvPr id="0" name="academy-story-ai-7-18-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Report the indoor </w:t>
      </w:r>
      <w:r>
        <w:rPr>
          <w:b/>
        </w:rPr>
        <w:t>benchmark</w:t>
      </w:r>
      <w:r>
        <w:rPr>
          <w:b w:val="0"/>
        </w:rPr>
        <w:t xml:space="preserve"> with its denominator and missing condition.</w:t>
      </w:r>
    </w:p>
    <w:p>
      <w:pPr>
        <w:spacing w:line="336" w:lineRule="auto" w:after="180"/>
      </w:pPr>
      <w:r>
        <w:rPr>
          <w:b w:val="0"/>
        </w:rPr>
        <w:t>After two correct outdoor cases out of four are added, what slice rate is supported and what remains uncertain?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All ten </w:t>
      </w:r>
      <w:r>
        <w:rPr>
          <w:b/>
        </w:rPr>
        <w:t>benchmark</w:t>
      </w:r>
      <w:r>
        <w:rPr>
          <w:b w:val="0"/>
        </w:rPr>
        <w:t xml:space="preserve"> images are clean indoor photos. The observed indoor score is 90%. Outdoor shade performance remains unmeasured.</w:t>
      </w:r>
    </w:p>
    <w:p>
      <w:pPr>
        <w:spacing w:line="336" w:lineRule="auto" w:after="180"/>
      </w:pPr>
      <w:r>
        <w:rPr>
          <w:b w:val="0"/>
        </w:rPr>
        <w:t>Changed case: Report the outdoor slice as 2/4=50%, separately from indoor results. The new records finally measure the missing condition, with a small denominator.</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Dataset and benchmark limitations: the case</w:t>
      </w:r>
    </w:p>
    <w:p>
      <w:pPr>
        <w:pStyle w:val="Heading3"/>
      </w:pPr>
      <w:r>
        <w:t>02. Follow the deciding steps</w:t>
      </w:r>
    </w:p>
    <w:p>
      <w:pPr>
        <w:pStyle w:val="Heading3"/>
      </w:pPr>
      <w:r>
        <w:t>03. Benchmark conditions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