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ai-7/20</w:t>
      </w:r>
    </w:p>
    <w:p>
      <w:pPr>
        <w:pStyle w:val="Title"/>
      </w:pPr>
      <w:r>
        <w:t>Privacy and data governance</w:t>
      </w:r>
    </w:p>
    <w:p>
      <w:r>
        <w:t>Project: Reproducible AI Research Study</w:t>
      </w:r>
    </w:p>
    <w:p>
      <w:pPr>
        <w:pStyle w:val="Heading1"/>
      </w:pPr>
      <w:r>
        <w:t>Ask which reader can link which records and what proves the restriction.</w:t>
      </w:r>
    </w:p>
    <w:p>
      <w:r>
        <w:t>Teach purpose, pseudonymity and honest control/retention evidence.</w:t>
      </w:r>
    </w:p>
    <w:p>
      <w:r>
        <w:t>Model coded-export risk → trace restricted key → distinguish proposed and implemented controls → assess subgroup policy → retain disclosure limits.</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privacy and </w:t>
      </w:r>
      <w:r>
        <w:rPr>
          <w:b/>
        </w:rPr>
        <w:t>data governance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Research ethics and consent.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research ethics and consent</w:t>
      </w:r>
    </w:p>
    <w:p>
      <w:pPr>
        <w:spacing w:line="336" w:lineRule="auto" w:after="180"/>
      </w:pPr>
      <w:r>
        <w:rPr>
          <w:b w:val="0"/>
        </w:rPr>
        <w:t>Reference example, not the only acceptable wording: Teacher explanation: Research ethics considers purpose, burden, voluntary participation and consequences.</w:t>
      </w:r>
    </w:p>
    <w:p>
      <w:pPr>
        <w:spacing w:line="336" w:lineRule="auto" w:after="180"/>
      </w:pPr>
      <w:r>
        <w:rPr>
          <w:b w:val="0"/>
        </w:rPr>
        <w:t>Approval to teach does not automatically authorise a research data collection. Use fictional records for this course.</w:t>
      </w:r>
    </w:p>
    <w:p>
      <w:pPr>
        <w:spacing w:line="336" w:lineRule="auto" w:after="180"/>
      </w:pPr>
      <w:r>
        <w:rPr>
          <w:b w:val="0"/>
        </w:rPr>
        <w:t>For the supplied classroom policy, a real study needs responsible review, plain-language purpose, opt-in consent and withdrawal handling before collection. Do not implement real recruitment in this exercise.</w:t>
      </w:r>
    </w:p>
    <w:p>
      <w:pPr>
        <w:spacing w:line="336" w:lineRule="auto" w:after="180"/>
      </w:pPr>
      <w:r>
        <w:rPr>
          <w:b w:val="0"/>
        </w:rPr>
        <w:t>Without opening the old lesson, explain one key idea from Sensitivity analysis.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sensitivity analysis</w:t>
      </w:r>
    </w:p>
    <w:p>
      <w:pPr>
        <w:spacing w:line="336" w:lineRule="auto" w:after="180"/>
      </w:pPr>
      <w:r>
        <w:rPr>
          <w:b w:val="0"/>
        </w:rPr>
        <w:t>Reference example, not the only acceptable wording: Teacher explanation: Sensitivity analysis checks whether a conclusion changes under plausible settings or analysis choices.</w:t>
      </w:r>
    </w:p>
    <w:p>
      <w:pPr>
        <w:spacing w:line="336" w:lineRule="auto" w:after="180"/>
      </w:pPr>
      <w:r>
        <w:rPr>
          <w:b w:val="0"/>
        </w:rPr>
        <w:t>It should not secretly select the most favourable result. Prespecify a range and preserve all results. Distinguish robustness across settings from proof beyond the tested range.</w:t>
      </w:r>
    </w:p>
    <w:p>
      <w:pPr>
        <w:spacing w:line="336" w:lineRule="auto" w:after="180"/>
      </w:pPr>
      <w:r>
        <w:rPr>
          <w:b w:val="0"/>
        </w:rPr>
        <w:t>Settings affecting data roles require special caution.</w:t>
      </w:r>
    </w:p>
    <w:p>
      <w:pPr>
        <w:spacing w:line="336" w:lineRule="auto" w:after="180"/>
      </w:pPr>
      <w:r>
        <w:rPr>
          <w:b w:val="0"/>
        </w:rPr>
        <w:t>Without opening the old lesson, explain one key idea from Statistical tests and assumptions.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statistical tests and assumptions</w:t>
      </w:r>
    </w:p>
    <w:p>
      <w:pPr>
        <w:spacing w:line="336" w:lineRule="auto" w:after="180"/>
      </w:pPr>
      <w:r>
        <w:rPr>
          <w:b w:val="0"/>
        </w:rPr>
        <w:t xml:space="preserve">Reference example, not the only acceptable wording: Teacher explanation: A statistical test compares observed </w:t>
      </w:r>
      <w:r>
        <w:rPr>
          <w:b/>
        </w:rPr>
        <w:t>evidence</w:t>
      </w:r>
      <w:r>
        <w:rPr>
          <w:b w:val="0"/>
        </w:rPr>
        <w:t xml:space="preserve"> with a specified null model. A p-value is not the probability that the null hypothesis is true.</w:t>
      </w:r>
    </w:p>
    <w:p>
      <w:pPr>
        <w:spacing w:line="336" w:lineRule="auto" w:after="180"/>
      </w:pPr>
      <w:r>
        <w:rPr>
          <w:b w:val="0"/>
        </w:rPr>
        <w:t>Toy paired sign-flip test assumes independent paired differences whose signs are exchangeable under a symmetric zero-effect null. Enumerate all2^n sign assignments, holding magnitudes fixed.</w:t>
      </w:r>
    </w:p>
    <w:p>
      <w:pPr>
        <w:spacing w:line="336" w:lineRule="auto" w:after="180"/>
      </w:pPr>
      <w:r>
        <w:rPr>
          <w:b w:val="0"/>
        </w:rPr>
        <w:t>Two-sided p is fraction with absolute mean at least the observed absolute mean; use inclusive ties.</w:t>
      </w:r>
    </w:p>
    <w:p>
      <w:pPr>
        <w:pStyle w:val="Heading2"/>
      </w:pPr>
      <w:r>
        <w:t>Pictured end goal</w:t>
      </w:r>
    </w:p>
    <w:p>
      <w:pPr>
        <w:spacing w:line="336" w:lineRule="auto" w:after="180"/>
      </w:pPr>
      <w:r>
        <w:rPr>
          <w:b w:val="0"/>
        </w:rPr>
        <w:t xml:space="preserve">Explain privacy and </w:t>
      </w:r>
      <w:r>
        <w:rPr>
          <w:b/>
        </w:rPr>
        <w:t>data governance</w:t>
      </w:r>
      <w:r>
        <w:rPr>
          <w:b w:val="0"/>
        </w:rPr>
        <w:t xml:space="preserve">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Research ethics and consent</w:t>
      </w:r>
    </w:p>
    <w:p>
      <w:pPr>
        <w:pStyle w:val="Heading3"/>
      </w:pPr>
      <w:r>
        <w:t>Sensitivity analysis</w:t>
      </w:r>
    </w:p>
    <w:p>
      <w:pPr>
        <w:pStyle w:val="Heading3"/>
      </w:pPr>
      <w:r>
        <w:t>Statistical tests and assumptions</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w:t>
      </w:r>
      <w:r>
        <w:rPr>
          <w:b/>
        </w:rPr>
        <w:t>Data governance</w:t>
      </w:r>
      <w:r>
        <w:rPr>
          <w:b w:val="0"/>
        </w:rPr>
        <w:t xml:space="preserve"> specifies who may use which records, for what purpose and for how long. Coded data can still be reidentifiable. Use the supplied constructed scenarios to make the </w:t>
      </w:r>
      <w:r>
        <w:rPr>
          <w:b/>
        </w:rPr>
        <w:t>mechanism</w:t>
      </w:r>
      <w:r>
        <w:rPr>
          <w:b w:val="0"/>
        </w:rPr>
        <w:t xml:space="preserve"> inspectable.</w:t>
      </w:r>
    </w:p>
    <w:p>
      <w:pPr>
        <w:spacing w:line="336" w:lineRule="auto" w:after="180"/>
      </w:pPr>
      <w:r>
        <w:rPr>
          <w:b w:val="0"/>
        </w:rPr>
        <w:t xml:space="preserve">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privacy and </w:t>
      </w:r>
      <w:r>
        <w:rPr>
          <w:b/>
        </w:rPr>
        <w:t>data governance</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governance as an evidence-backed data-flow design</w:t>
      </w:r>
    </w:p>
    <w:p>
      <w:r>
        <w:t>Assess purpose, readers and remaining linkage routes rather than a name-removal checklist.</w:t>
      </w:r>
    </w:p>
    <w:p>
      <w:pPr>
        <w:pStyle w:val="Heading2"/>
      </w:pPr>
      <w:r>
        <w:t>Definitions and complete fictional contract</w:t>
      </w:r>
    </w:p>
    <w:p>
      <w:pPr>
        <w:spacing w:line="336" w:lineRule="auto" w:after="180"/>
      </w:pPr>
      <w:r>
        <w:rPr>
          <w:b/>
        </w:rPr>
        <w:t>Data governance</w:t>
      </w:r>
      <w:r>
        <w:rPr>
          <w:b w:val="0"/>
        </w:rPr>
        <w:t xml:space="preserve"> specifies who may use which records, for what purpose and for how long. Coded data can still be reidentifiable.</w:t>
      </w:r>
    </w:p>
    <w:p>
      <w:pPr>
        <w:spacing w:line="336" w:lineRule="auto" w:after="180"/>
      </w:pPr>
      <w:r>
        <w:rPr>
          <w:b w:val="0"/>
        </w:rPr>
        <w:t>For fictional records separate participant-code table from analysis values; limit access and retention. Remove unnecessary fields and small-group details before a permitted aggregate export.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Governance item</w:t>
            </w:r>
          </w:p>
        </w:tc>
        <w:tc>
          <w:tcPr>
            <w:tcW w:type="dxa" w:w="5112"/>
          </w:tcPr>
          <w:p>
            <w:r>
              <w:t>Complete fictional exercise contract</w:t>
            </w:r>
          </w:p>
        </w:tc>
      </w:tr>
      <w:tr>
        <w:tc>
          <w:tcPr>
            <w:tcW w:type="dxa" w:w="5112"/>
          </w:tcPr>
          <w:p>
            <w:r>
              <w:t>Named purpose</w:t>
            </w:r>
          </w:p>
        </w:tc>
        <w:tc>
          <w:tcPr>
            <w:tcW w:type="dxa" w:w="5112"/>
          </w:tcPr>
          <w:p>
            <w:r>
              <w:t>Task-score analysis using fictional records</w:t>
            </w:r>
          </w:p>
        </w:tc>
      </w:tr>
      <w:tr>
        <w:tc>
          <w:tcPr>
            <w:tcW w:type="dxa" w:w="5112"/>
          </w:tcPr>
          <w:p>
            <w:r>
              <w:t>Analysis fields needed in the picture</w:t>
            </w:r>
          </w:p>
        </w:tc>
        <w:tc>
          <w:tcPr>
            <w:tcW w:type="dxa" w:w="5112"/>
          </w:tcPr>
          <w:p>
            <w:r>
              <w:t>Random participant code and task score</w:t>
            </w:r>
          </w:p>
        </w:tc>
      </w:tr>
      <w:tr>
        <w:tc>
          <w:tcPr>
            <w:tcW w:type="dxa" w:w="5112"/>
          </w:tcPr>
          <w:p>
            <w:r>
              <w:t>Unnecessary main-export details</w:t>
            </w:r>
          </w:p>
        </w:tc>
        <w:tc>
          <w:tcPr>
            <w:tcW w:type="dxa" w:w="5112"/>
          </w:tcPr>
          <w:p>
            <w:r>
              <w:t>Exact birth date, classroom and rare condition are not needed for this toy purpose</w:t>
            </w:r>
          </w:p>
        </w:tc>
      </w:tr>
      <w:tr>
        <w:tc>
          <w:tcPr>
            <w:tcW w:type="dxa" w:w="5112"/>
          </w:tcPr>
          <w:p>
            <w:r>
              <w:t>Separate key</w:t>
            </w:r>
          </w:p>
        </w:tc>
        <w:tc>
          <w:tcPr>
            <w:tcW w:type="dxa" w:w="5112"/>
          </w:tcPr>
          <w:p>
            <w:r>
              <w:t>Code-to-identity link; restricted withdrawal role only</w:t>
            </w:r>
          </w:p>
        </w:tc>
      </w:tr>
      <w:tr>
        <w:tc>
          <w:tcPr>
            <w:tcW w:type="dxa" w:w="5112"/>
          </w:tcPr>
          <w:p>
            <w:r>
              <w:t>Analyst role</w:t>
            </w:r>
          </w:p>
        </w:tc>
        <w:tc>
          <w:tcPr>
            <w:tcW w:type="dxa" w:w="5112"/>
          </w:tcPr>
          <w:p>
            <w:r>
              <w:t>Reads analysis values, not the identity key under this design</w:t>
            </w:r>
          </w:p>
        </w:tc>
      </w:tr>
      <w:tr>
        <w:tc>
          <w:tcPr>
            <w:tcW w:type="dxa" w:w="5112"/>
          </w:tcPr>
          <w:p>
            <w:r>
              <w:t>Public output in the proposed repair</w:t>
            </w:r>
          </w:p>
        </w:tc>
        <w:tc>
          <w:tcPr>
            <w:tcW w:type="dxa" w:w="5112"/>
          </w:tcPr>
          <w:p>
            <w:r>
              <w:t>No row-level public output; any later aggregate needs its own disclosure check</w:t>
            </w:r>
          </w:p>
        </w:tc>
      </w:tr>
      <w:tr>
        <w:tc>
          <w:tcPr>
            <w:tcW w:type="dxa" w:w="5112"/>
          </w:tcPr>
          <w:p>
            <w:r>
              <w:t>Retention in the proposed repair</w:t>
            </w:r>
          </w:p>
        </w:tc>
        <w:tc>
          <w:tcPr>
            <w:tcW w:type="dxa" w:w="5112"/>
          </w:tcPr>
          <w:p>
            <w:r>
              <w:t>Demo plan: delete analysis and key at exercise end; this is a proposal, not executed deletion</w:t>
            </w:r>
          </w:p>
        </w:tc>
      </w:tr>
      <w:tr>
        <w:tc>
          <w:tcPr>
            <w:tcW w:type="dxa" w:w="5112"/>
          </w:tcPr>
          <w:p>
            <w:r>
              <w:t>Subgroup policy for the independent case</w:t>
            </w:r>
          </w:p>
        </w:tc>
        <w:tc>
          <w:tcPr>
            <w:tcW w:type="dxa" w:w="5112"/>
          </w:tcPr>
          <w:p>
            <w:r>
              <w:t>Do not report groups smaller than five</w:t>
            </w:r>
          </w:p>
        </w:tc>
      </w:tr>
      <w:tr>
        <w:tc>
          <w:tcPr>
            <w:tcW w:type="dxa" w:w="5112"/>
          </w:tcPr>
          <w:p>
            <w:r>
              <w:t>Evidence limit</w:t>
            </w:r>
          </w:p>
        </w:tc>
        <w:tc>
          <w:tcPr>
            <w:tcW w:type="dxa" w:w="5112"/>
          </w:tcPr>
          <w:p>
            <w:r>
              <w:t>Metadata checks do not prove anonymity, actual access control, consent or safe export</w:t>
            </w:r>
          </w:p>
        </w:tc>
      </w:tr>
    </w:tbl>
    <w:p>
      <w:pPr>
        <w:pStyle w:val="Heading2"/>
      </w:pPr>
      <w:r>
        <w:t>Main field ledger and checked teacher reasoning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export field</w:t>
            </w:r>
          </w:p>
        </w:tc>
        <w:tc>
          <w:tcPr>
            <w:tcW w:type="dxa" w:w="3408"/>
          </w:tcPr>
          <w:p>
            <w:r>
              <w:t>Reason for concern</w:t>
            </w:r>
          </w:p>
        </w:tc>
        <w:tc>
          <w:tcPr>
            <w:tcW w:type="dxa" w:w="3408"/>
          </w:tcPr>
          <w:p>
            <w:r>
              <w:t>Toy-purpose action</w:t>
            </w:r>
          </w:p>
        </w:tc>
      </w:tr>
      <w:tr>
        <w:tc>
          <w:tcPr>
            <w:tcW w:type="dxa" w:w="3408"/>
          </w:tcPr>
          <w:p>
            <w:r>
              <w:t>Coded ID</w:t>
            </w:r>
          </w:p>
        </w:tc>
        <w:tc>
          <w:tcPr>
            <w:tcW w:type="dxa" w:w="3408"/>
          </w:tcPr>
          <w:p>
            <w:r>
              <w:t>May link to other records or a key</w:t>
            </w:r>
          </w:p>
        </w:tc>
        <w:tc>
          <w:tcPr>
            <w:tcW w:type="dxa" w:w="3408"/>
          </w:tcPr>
          <w:p>
            <w:r>
              <w:t>Restrict under the declared role plan</w:t>
            </w:r>
          </w:p>
        </w:tc>
      </w:tr>
      <w:tr>
        <w:tc>
          <w:tcPr>
            <w:tcW w:type="dxa" w:w="3408"/>
          </w:tcPr>
          <w:p>
            <w:r>
              <w:t>Exact birth date</w:t>
            </w:r>
          </w:p>
        </w:tc>
        <w:tc>
          <w:tcPr>
            <w:tcW w:type="dxa" w:w="3408"/>
          </w:tcPr>
          <w:p>
            <w:r>
              <w:t>Detailed identifying combination</w:t>
            </w:r>
          </w:p>
        </w:tc>
        <w:tc>
          <w:tcPr>
            <w:tcW w:type="dxa" w:w="3408"/>
          </w:tcPr>
          <w:p>
            <w:r>
              <w:t>Remove from the task-score analysis proposal</w:t>
            </w:r>
          </w:p>
        </w:tc>
      </w:tr>
      <w:tr>
        <w:tc>
          <w:tcPr>
            <w:tcW w:type="dxa" w:w="3408"/>
          </w:tcPr>
          <w:p>
            <w:r>
              <w:t>Classroom</w:t>
            </w:r>
          </w:p>
        </w:tc>
        <w:tc>
          <w:tcPr>
            <w:tcW w:type="dxa" w:w="3408"/>
          </w:tcPr>
          <w:p>
            <w:r>
              <w:t>Narrows the possible people</w:t>
            </w:r>
          </w:p>
        </w:tc>
        <w:tc>
          <w:tcPr>
            <w:tcW w:type="dxa" w:w="3408"/>
          </w:tcPr>
          <w:p>
            <w:r>
              <w:t>Remove unnecessary detail</w:t>
            </w:r>
          </w:p>
        </w:tc>
      </w:tr>
      <w:tr>
        <w:tc>
          <w:tcPr>
            <w:tcW w:type="dxa" w:w="3408"/>
          </w:tcPr>
          <w:p>
            <w:r>
              <w:t>Rare condition</w:t>
            </w:r>
          </w:p>
        </w:tc>
        <w:tc>
          <w:tcPr>
            <w:tcW w:type="dxa" w:w="3408"/>
          </w:tcPr>
          <w:p>
            <w:r>
              <w:t>Can identify through unusual combinations</w:t>
            </w:r>
          </w:p>
        </w:tc>
        <w:tc>
          <w:tcPr>
            <w:tcW w:type="dxa" w:w="3408"/>
          </w:tcPr>
          <w:p>
            <w:r>
              <w:t>Remove from this toy-purpose proposal</w:t>
            </w:r>
          </w:p>
        </w:tc>
      </w:tr>
      <w:tr>
        <w:tc>
          <w:tcPr>
            <w:tcW w:type="dxa" w:w="3408"/>
          </w:tcPr>
          <w:p>
            <w:r>
              <w:t>No names in export</w:t>
            </w:r>
          </w:p>
        </w:tc>
        <w:tc>
          <w:tcPr>
            <w:tcW w:type="dxa" w:w="3408"/>
          </w:tcPr>
          <w:p>
            <w:r>
              <w:t>Does not remove all linkage routes</w:t>
            </w:r>
          </w:p>
        </w:tc>
        <w:tc>
          <w:tcPr>
            <w:tcW w:type="dxa" w:w="3408"/>
          </w:tcPr>
          <w:p>
            <w:r>
              <w:t>Do not label it guaranteed anonymous</w:t>
            </w:r>
          </w:p>
        </w:tc>
      </w:tr>
      <w:tr>
        <w:tc>
          <w:tcPr>
            <w:tcW w:type="dxa" w:w="3408"/>
          </w:tcPr>
          <w:p>
            <w:r>
              <w:t>Missing readers/retention evidence</w:t>
            </w:r>
          </w:p>
        </w:tc>
        <w:tc>
          <w:tcPr>
            <w:tcW w:type="dxa" w:w="3408"/>
          </w:tcPr>
          <w:p>
            <w:r>
              <w:t>Plan alone does not prove controls</w:t>
            </w:r>
          </w:p>
        </w:tc>
        <w:tc>
          <w:tcPr>
            <w:tcW w:type="dxa" w:w="3408"/>
          </w:tcPr>
          <w:p>
            <w:r>
              <w:t>Record unresolved checks; do not claim actual protection</w:t>
            </w:r>
          </w:p>
        </w:tc>
      </w:tr>
    </w:tbl>
    <w:p>
      <w:pPr>
        <w:spacing w:line="336" w:lineRule="auto" w:after="180"/>
      </w:pPr>
      <w:r>
        <w:rPr>
          <w:b w:val="0"/>
        </w:rPr>
        <w:t>Main coded ID, birth date, classroom and rare condition can remain identifying in combination; removing names does not establish anonymity. For the explicit toy task-score purpose, unnecessary detail is removed in a proposed plan, with roles and retention recorded. Picture code-to-score and restricted code-to-identity tables remain linkable; publishing the key breaks separation.</w:t>
      </w:r>
    </w:p>
    <w:p>
      <w:pPr>
        <w:spacing w:line="336" w:lineRule="auto" w:after="180"/>
      </w:pPr>
      <w:r>
        <w:rPr>
          <w:b w:val="0"/>
        </w:rPr>
        <w:t>Metadata checks do not enforce access or delete records. Independent subgroup of one fails the stated minimum-five policy. Do not publish that subgroup; any suppression or grouping proposal must avoid revealing the hidden value through totals and must stay within the allowed purpose. Meeting the size rule at five alone does not guarantee privacy or permission.</w:t>
      </w:r>
    </w:p>
    <w:p>
      <w:pPr>
        <w:spacing w:line="336" w:lineRule="auto" w:after="180"/>
      </w:pPr>
      <w:r>
        <w:rPr>
          <w:b w:val="0"/>
        </w:rPr>
        <w:t>No real export, identity lookup or institutional/legal determination occurs.</w:t>
      </w:r>
    </w:p>
    <w:p>
      <w:pPr>
        <w:pStyle w:val="Heading3"/>
      </w:pPr>
      <w:r>
        <w:t>Privacy and data governance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Export has coded ID, exact birth date, classroom and rare condition. Team calls it anonymous because names are removed.</w:t>
            </w:r>
          </w:p>
        </w:tc>
        <w:tc>
          <w:tcPr>
            <w:tcW w:type="dxa" w:w="3408"/>
          </w:tcPr>
          <w:p>
            <w:r>
              <w:t>For fictional records separate participant-code table from analysis values; limit access and retention. Remove unnecessary fields and small-group details before a permitted aggregate export.</w:t>
            </w:r>
          </w:p>
        </w:tc>
        <w:tc>
          <w:tcPr>
            <w:tcW w:type="dxa" w:w="3408"/>
          </w:tcPr>
          <w:p>
            <w:r>
              <w:t>The combination can remain identifying; coded is not necessarily anonymous. Minimise fields and assess disclosure under the declared policy.</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The combination can remain identifying; coded is not necessarily anonymous. Minimise fields and assess disclosure under the declared policy.</w:t>
      </w:r>
    </w:p>
    <w:p>
      <w:pPr>
        <w:spacing w:line="336" w:lineRule="auto" w:after="180"/>
      </w:pPr>
      <w:r>
        <w:rPr>
          <w:b w:val="0"/>
        </w:rPr>
        <w:t>Qualification: A size threshold or coding scheme alone does not guarantee privacy.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Export has coded ID, exact birth date, classroom and rare condition. Team calls it anonymous because names are removed.</w:t>
      </w:r>
    </w:p>
    <w:p>
      <w:pPr>
        <w:spacing w:line="336" w:lineRule="auto" w:after="180"/>
      </w:pPr>
      <w:r>
        <w:rPr>
          <w:b w:val="0"/>
        </w:rPr>
        <w:t>The combination can remain identifying; coded is not necessarily anonymous. Minimise fields and assess disclosure under the declared policy.</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Control-evidence and subgroup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Governance probe</w:t>
            </w:r>
          </w:p>
        </w:tc>
        <w:tc>
          <w:tcPr>
            <w:tcW w:type="dxa" w:w="5112"/>
          </w:tcPr>
          <w:p>
            <w:r>
              <w:t>Checked interpretation</w:t>
            </w:r>
          </w:p>
        </w:tc>
      </w:tr>
      <w:tr>
        <w:tc>
          <w:tcPr>
            <w:tcW w:type="dxa" w:w="5112"/>
          </w:tcPr>
          <w:p>
            <w:r>
              <w:t>Names removed</w:t>
            </w:r>
          </w:p>
        </w:tc>
        <w:tc>
          <w:tcPr>
            <w:tcW w:type="dxa" w:w="5112"/>
          </w:tcPr>
          <w:p>
            <w:r>
              <w:t>Other fields may still identify people</w:t>
            </w:r>
          </w:p>
        </w:tc>
      </w:tr>
      <w:tr>
        <w:tc>
          <w:tcPr>
            <w:tcW w:type="dxa" w:w="5112"/>
          </w:tcPr>
          <w:p>
            <w:r>
              <w:t>Random codes used</w:t>
            </w:r>
          </w:p>
        </w:tc>
        <w:tc>
          <w:tcPr>
            <w:tcW w:type="dxa" w:w="5112"/>
          </w:tcPr>
          <w:p>
            <w:r>
              <w:t>Key or external information can allow linkage</w:t>
            </w:r>
          </w:p>
        </w:tc>
      </w:tr>
      <w:tr>
        <w:tc>
          <w:tcPr>
            <w:tcW w:type="dxa" w:w="5112"/>
          </w:tcPr>
          <w:p>
            <w:r>
              <w:t>Key is in another file</w:t>
            </w:r>
          </w:p>
        </w:tc>
        <w:tc>
          <w:tcPr>
            <w:tcW w:type="dxa" w:w="5112"/>
          </w:tcPr>
          <w:p>
            <w:r>
              <w:t>File separation does not prove reader restrictions</w:t>
            </w:r>
          </w:p>
        </w:tc>
      </w:tr>
      <w:tr>
        <w:tc>
          <w:tcPr>
            <w:tcW w:type="dxa" w:w="5112"/>
          </w:tcPr>
          <w:p>
            <w:r>
              <w:t>Metadata audit returns no listed issues</w:t>
            </w:r>
          </w:p>
        </w:tc>
        <w:tc>
          <w:tcPr>
            <w:tcW w:type="dxa" w:w="5112"/>
          </w:tcPr>
          <w:p>
            <w:r>
              <w:t>Not actual permission, anonymity or disclosure clearance</w:t>
            </w:r>
          </w:p>
        </w:tc>
      </w:tr>
      <w:tr>
        <w:tc>
          <w:tcPr>
            <w:tcW w:type="dxa" w:w="5112"/>
          </w:tcPr>
          <w:p>
            <w:r>
              <w:t>Retention action written down</w:t>
            </w:r>
          </w:p>
        </w:tc>
        <w:tc>
          <w:tcPr>
            <w:tcW w:type="dxa" w:w="5112"/>
          </w:tcPr>
          <w:p>
            <w:r>
              <w:t>Not proof of deletion</w:t>
            </w:r>
          </w:p>
        </w:tc>
      </w:tr>
      <w:tr>
        <w:tc>
          <w:tcPr>
            <w:tcW w:type="dxa" w:w="5112"/>
          </w:tcPr>
          <w:p>
            <w:r>
              <w:t>One-member subgroup under minimum-five policy</w:t>
            </w:r>
          </w:p>
        </w:tc>
        <w:tc>
          <w:tcPr>
            <w:tcW w:type="dxa" w:w="5112"/>
          </w:tcPr>
          <w:p>
            <w:r>
              <w:t>Do not publish the subgroup</w:t>
            </w:r>
          </w:p>
        </w:tc>
      </w:tr>
      <w:tr>
        <w:tc>
          <w:tcPr>
            <w:tcW w:type="dxa" w:w="5112"/>
          </w:tcPr>
          <w:p>
            <w:r>
              <w:t>Five-member subgroup</w:t>
            </w:r>
          </w:p>
        </w:tc>
        <w:tc>
          <w:tcPr>
            <w:tcW w:type="dxa" w:w="5112"/>
          </w:tcPr>
          <w:p>
            <w:r>
              <w:t>Meets only the stated size rule; other risks remain</w:t>
            </w:r>
          </w:p>
        </w:tc>
      </w:tr>
      <w:tr>
        <w:tc>
          <w:tcPr>
            <w:tcW w:type="dxa" w:w="5112"/>
          </w:tcPr>
          <w:p>
            <w:r>
              <w:t>Merge or suppress categories</w:t>
            </w:r>
          </w:p>
        </w:tc>
        <w:tc>
          <w:tcPr>
            <w:tcW w:type="dxa" w:w="5112"/>
          </w:tcPr>
          <w:p>
            <w:r>
              <w:t>Check permitted purpose and whether totals reveal the suppressed cell</w:t>
            </w:r>
          </w:p>
        </w:tc>
      </w:tr>
      <w:tr>
        <w:tc>
          <w:tcPr>
            <w:tcW w:type="dxa" w:w="5112"/>
          </w:tcPr>
          <w:p>
            <w:r>
              <w:t>Fictional example is well designed</w:t>
            </w:r>
          </w:p>
        </w:tc>
        <w:tc>
          <w:tcPr>
            <w:tcW w:type="dxa" w:w="5112"/>
          </w:tcPr>
          <w:p>
            <w:r>
              <w:t>Does not authorize a real export</w:t>
            </w:r>
          </w:p>
        </w:tc>
      </w:tr>
    </w:tbl>
    <w:p>
      <w:pPr>
        <w:pStyle w:val="Heading2"/>
      </w:pPr>
      <w:r>
        <w:t>Separate key design and native diagram</w:t>
      </w:r>
    </w:p>
    <w:p>
      <w:pPr>
        <w:spacing w:line="336" w:lineRule="auto" w:after="180"/>
      </w:pPr>
      <w:r>
        <w:rPr>
          <w:b w:val="0"/>
        </w:rPr>
        <w:t>Govern data by purpose and access. A fictional project needs task scores and random participant codes, but not names.</w:t>
      </w:r>
    </w:p>
    <w:p>
      <w:pPr>
        <w:spacing w:line="336" w:lineRule="auto" w:after="180"/>
      </w:pPr>
      <w:r>
        <w:rPr>
          <w:b w:val="0"/>
        </w:rPr>
        <w:t>The analysis table holds codes and scores. A separate restricted key links codes to names only for authorised withdrawal handling.</w:t>
      </w:r>
    </w:p>
    <w:p>
      <w:pPr>
        <w:spacing w:line="336" w:lineRule="auto" w:after="180"/>
      </w:pPr>
      <w:r>
        <w:rPr>
          <w:b w:val="0"/>
        </w:rPr>
        <w:t>The separate picture keeps participant codes and task scores in the analysis table. A restricted key maps those codes to identities for the stated withdrawal purpose. That link is why the records are pseudonymous rather than guaranteed anonymous. The separation reduces routine exposure only if readers actually have the declared restrictions.</w:t>
      </w:r>
    </w:p>
    <w:p>
      <w:pPr>
        <w:spacing w:line="336" w:lineRule="auto" w:after="180"/>
      </w:pPr>
      <w:r>
        <w:rPr>
          <w:b w:val="0"/>
        </w:rPr>
        <w:t>Publishing the key alongside the analysis makes code-based linking straightforward and breaks this design. Even with a restricted key, unusual values or small groups may disclose identity through other information. No actual identity lookup, access-control enforcement or deletion is performed here.</w:t>
      </w:r>
    </w:p>
    <w:p>
      <w:r>
        <w:drawing>
          <wp:inline xmlns:a="http://schemas.openxmlformats.org/drawingml/2006/main" xmlns:pic="http://schemas.openxmlformats.org/drawingml/2006/picture">
            <wp:extent cx="5486400" cy="3029913"/>
            <wp:docPr id="1" name="Picture 1" descr="The fictional analysis table maps participant codes to scores and is readable by the analyst role. A separate restricted identity key maps the same codes to identities for authorized withdrawal handling. Shared codes make joining possible if the key is available. Publishing both breaks the declared separation. Coded data is not guaranteed anonymous."/>
            <wp:cNvGraphicFramePr>
              <a:graphicFrameLocks noChangeAspect="1"/>
            </wp:cNvGraphicFramePr>
            <a:graphic>
              <a:graphicData uri="http://schemas.openxmlformats.org/drawingml/2006/picture">
                <pic:pic>
                  <pic:nvPicPr>
                    <pic:cNvPr id="0" name="ai-7-20-key-separation.png"/>
                    <pic:cNvPicPr/>
                  </pic:nvPicPr>
                  <pic:blipFill>
                    <a:blip r:embed="rId9"/>
                    <a:stretch>
                      <a:fillRect/>
                    </a:stretch>
                  </pic:blipFill>
                  <pic:spPr>
                    <a:xfrm>
                      <a:off x="0" y="0"/>
                      <a:ext cx="5486400" cy="302991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Table or operation</w:t>
            </w:r>
          </w:p>
        </w:tc>
        <w:tc>
          <w:tcPr>
            <w:tcW w:type="dxa" w:w="3408"/>
          </w:tcPr>
          <w:p>
            <w:r>
              <w:t>Declared permitted role/use</w:t>
            </w:r>
          </w:p>
        </w:tc>
        <w:tc>
          <w:tcPr>
            <w:tcW w:type="dxa" w:w="3408"/>
          </w:tcPr>
          <w:p>
            <w:r>
              <w:t>What the audit cannot assume</w:t>
            </w:r>
          </w:p>
        </w:tc>
      </w:tr>
      <w:tr>
        <w:tc>
          <w:tcPr>
            <w:tcW w:type="dxa" w:w="3408"/>
          </w:tcPr>
          <w:p>
            <w:r>
              <w:t>Analysis code + score</w:t>
            </w:r>
          </w:p>
        </w:tc>
        <w:tc>
          <w:tcPr>
            <w:tcW w:type="dxa" w:w="3408"/>
          </w:tcPr>
          <w:p>
            <w:r>
              <w:t>Analyst for the named task-score purpose</w:t>
            </w:r>
          </w:p>
        </w:tc>
        <w:tc>
          <w:tcPr>
            <w:tcW w:type="dxa" w:w="3408"/>
          </w:tcPr>
          <w:p>
            <w:r>
              <w:t>Codes are not proof of anonymity</w:t>
            </w:r>
          </w:p>
        </w:tc>
      </w:tr>
      <w:tr>
        <w:tc>
          <w:tcPr>
            <w:tcW w:type="dxa" w:w="3408"/>
          </w:tcPr>
          <w:p>
            <w:r>
              <w:t>Identity key</w:t>
            </w:r>
          </w:p>
        </w:tc>
        <w:tc>
          <w:tcPr>
            <w:tcW w:type="dxa" w:w="3408"/>
          </w:tcPr>
          <w:p>
            <w:r>
              <w:t>Restricted withdrawal role</w:t>
            </w:r>
          </w:p>
        </w:tc>
        <w:tc>
          <w:tcPr>
            <w:tcW w:type="dxa" w:w="3408"/>
          </w:tcPr>
          <w:p>
            <w:r>
              <w:t>A table label does not enforce permissions</w:t>
            </w:r>
          </w:p>
        </w:tc>
      </w:tr>
      <w:tr>
        <w:tc>
          <w:tcPr>
            <w:tcW w:type="dxa" w:w="3408"/>
          </w:tcPr>
          <w:p>
            <w:r>
              <w:t>Combine key and analysis publicly</w:t>
            </w:r>
          </w:p>
        </w:tc>
        <w:tc>
          <w:tcPr>
            <w:tcW w:type="dxa" w:w="3408"/>
          </w:tcPr>
          <w:p>
            <w:r>
              <w:t>Outside this design</w:t>
            </w:r>
          </w:p>
        </w:tc>
        <w:tc>
          <w:tcPr>
            <w:tcW w:type="dxa" w:w="3408"/>
          </w:tcPr>
          <w:p>
            <w:r>
              <w:t>Do not treat the result as deidentified</w:t>
            </w:r>
          </w:p>
        </w:tc>
      </w:tr>
      <w:tr>
        <w:tc>
          <w:tcPr>
            <w:tcW w:type="dxa" w:w="3408"/>
          </w:tcPr>
          <w:p>
            <w:r>
              <w:t>End-of-exercise deletion plan</w:t>
            </w:r>
          </w:p>
        </w:tc>
        <w:tc>
          <w:tcPr>
            <w:tcW w:type="dxa" w:w="3408"/>
          </w:tcPr>
          <w:p>
            <w:r>
              <w:t>Proposed retention action</w:t>
            </w:r>
          </w:p>
        </w:tc>
        <w:tc>
          <w:tcPr>
            <w:tcW w:type="dxa" w:w="3408"/>
          </w:tcPr>
          <w:p>
            <w:r>
              <w:t>Not evidence deletion has occurred</w:t>
            </w:r>
          </w:p>
        </w:tc>
      </w:tr>
      <w:tr>
        <w:tc>
          <w:tcPr>
            <w:tcW w:type="dxa" w:w="3408"/>
          </w:tcPr>
          <w:p>
            <w:r>
              <w:t>Subgroup count below five</w:t>
            </w:r>
          </w:p>
        </w:tc>
        <w:tc>
          <w:tcPr>
            <w:tcW w:type="dxa" w:w="3408"/>
          </w:tcPr>
          <w:p>
            <w:r>
              <w:t>Blocked by supplied policy</w:t>
            </w:r>
          </w:p>
        </w:tc>
        <w:tc>
          <w:tcPr>
            <w:tcW w:type="dxa" w:w="3408"/>
          </w:tcPr>
          <w:p>
            <w:r>
              <w:t>Changing the threshold after seeing outcomes is not compliance</w:t>
            </w:r>
          </w:p>
        </w:tc>
      </w:tr>
      <w:tr>
        <w:tc>
          <w:tcPr>
            <w:tcW w:type="dxa" w:w="3408"/>
          </w:tcPr>
          <w:p>
            <w:r>
              <w:t>Subgroup count equals five</w:t>
            </w:r>
          </w:p>
        </w:tc>
        <w:tc>
          <w:tcPr>
            <w:tcW w:type="dxa" w:w="3408"/>
          </w:tcPr>
          <w:p>
            <w:r>
              <w:t>Meets this size rule only</w:t>
            </w:r>
          </w:p>
        </w:tc>
        <w:tc>
          <w:tcPr>
            <w:tcW w:type="dxa" w:w="3408"/>
          </w:tcPr>
          <w:p>
            <w:r>
              <w:t>Not a general privacy or export guarantee</w:t>
            </w:r>
          </w:p>
        </w:tc>
      </w:tr>
    </w:tbl>
    <w:p>
      <w:pPr>
        <w:pStyle w:val="Heading2"/>
      </w:pPr>
      <w:r>
        <w:t>Picture trace and published-key explanation</w:t>
      </w:r>
    </w:p>
    <w:p>
      <w:r>
        <w:drawing>
          <wp:inline xmlns:a="http://schemas.openxmlformats.org/drawingml/2006/main" xmlns:pic="http://schemas.openxmlformats.org/drawingml/2006/picture">
            <wp:extent cx="5486400" cy="3182112"/>
            <wp:docPr id="2" name="Picture 2" descr="Separate tables: Keep analysis records apart from the identity key. → Limit access: Analysts receive scores and codes, not the name linkage. → Define retention: Apply the approved deletion schedule to both stores and listed copies."/>
            <wp:cNvGraphicFramePr>
              <a:graphicFrameLocks noChangeAspect="1"/>
            </wp:cNvGraphicFramePr>
            <a:graphic>
              <a:graphicData uri="http://schemas.openxmlformats.org/drawingml/2006/picture">
                <pic:pic>
                  <pic:nvPicPr>
                    <pic:cNvPr id="0" name="academy-story-ai-7-20-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Separate tables</w:t>
            </w:r>
          </w:p>
        </w:tc>
        <w:tc>
          <w:tcPr>
            <w:tcW w:type="dxa" w:w="5112"/>
          </w:tcPr>
          <w:p>
            <w:r>
              <w:t>Keep analysis records apart from the identity key.</w:t>
            </w:r>
          </w:p>
        </w:tc>
      </w:tr>
      <w:tr>
        <w:tc>
          <w:tcPr>
            <w:tcW w:type="dxa" w:w="5112"/>
          </w:tcPr>
          <w:p>
            <w:r>
              <w:t>2. Limit access</w:t>
            </w:r>
          </w:p>
        </w:tc>
        <w:tc>
          <w:tcPr>
            <w:tcW w:type="dxa" w:w="5112"/>
          </w:tcPr>
          <w:p>
            <w:r>
              <w:t>Analysts receive scores and codes, not the name linkage.</w:t>
            </w:r>
          </w:p>
        </w:tc>
      </w:tr>
      <w:tr>
        <w:tc>
          <w:tcPr>
            <w:tcW w:type="dxa" w:w="5112"/>
          </w:tcPr>
          <w:p>
            <w:r>
              <w:t>3. Define retention</w:t>
            </w:r>
          </w:p>
        </w:tc>
        <w:tc>
          <w:tcPr>
            <w:tcW w:type="dxa" w:w="5112"/>
          </w:tcPr>
          <w:p>
            <w:r>
              <w:t>Apply the approved deletion schedule to both stores and listed copies.</w:t>
            </w:r>
          </w:p>
        </w:tc>
      </w:tr>
    </w:tbl>
    <w:p>
      <w:r>
        <w:t>Match each pictured step to the supplied facts. This is a worked teaching case, not an independent assessment.</w:t>
      </w:r>
    </w:p>
    <w:p>
      <w:pPr>
        <w:spacing w:line="336" w:lineRule="auto" w:after="180"/>
      </w:pPr>
      <w:r>
        <w:rPr>
          <w:b/>
        </w:rPr>
        <w:t>Pseudonym</w:t>
      </w:r>
      <w:r>
        <w:rPr>
          <w:b w:val="0"/>
        </w:rPr>
        <w:t>ous codes reduce routine exposure but are not the same as irreversible anonymity. Governance specifies purpose, readers, locations and retention.</w:t>
      </w:r>
    </w:p>
    <w:p>
      <w:pPr>
        <w:spacing w:line="336" w:lineRule="auto" w:after="180"/>
      </w:pPr>
      <w:r>
        <w:rPr>
          <w:b w:val="0"/>
        </w:rPr>
        <w:t>Small groups or unusual records may still be identifiable without names; evaluate re-identification risk.</w:t>
      </w:r>
    </w:p>
    <w:p>
      <w:pPr>
        <w:spacing w:line="336" w:lineRule="auto" w:after="180"/>
      </w:pPr>
      <w:r>
        <w:rPr>
          <w:b w:val="0"/>
        </w:rPr>
        <w:t>Change: Publish the identity key with the analysis table.</w:t>
      </w:r>
    </w:p>
    <w:p>
      <w:pPr>
        <w:spacing w:line="336" w:lineRule="auto" w:after="180"/>
      </w:pPr>
      <w:r>
        <w:rPr>
          <w:b/>
        </w:rPr>
        <w:t>Prediction</w:t>
      </w:r>
      <w:r>
        <w:rPr>
          <w:b w:val="0"/>
        </w:rPr>
        <w:t>: The records become directly linkable to names and breach this access design.</w:t>
      </w:r>
    </w:p>
    <w:p>
      <w:pPr>
        <w:spacing w:line="336" w:lineRule="auto" w:after="180"/>
      </w:pPr>
      <w:r>
        <w:rPr>
          <w:b w:val="0"/>
        </w:rPr>
        <w:t>Reason: Separation only helps while the linkage key remains restricted.</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Data governance</w:t>
            </w:r>
          </w:p>
        </w:tc>
        <w:tc>
          <w:tcPr>
            <w:tcW w:type="dxa" w:w="5112"/>
          </w:tcPr>
          <w:p>
            <w:r>
              <w:t>Rules for purpose, access, quality and lifetime</w:t>
            </w:r>
          </w:p>
        </w:tc>
      </w:tr>
      <w:tr>
        <w:tc>
          <w:tcPr>
            <w:tcW w:type="dxa" w:w="5112"/>
          </w:tcPr>
          <w:p>
            <w:r>
              <w:t>Pseudonym</w:t>
            </w:r>
          </w:p>
        </w:tc>
        <w:tc>
          <w:tcPr>
            <w:tcW w:type="dxa" w:w="5112"/>
          </w:tcPr>
          <w:p>
            <w:r>
              <w:t>A code replacing direct identification</w:t>
            </w:r>
          </w:p>
        </w:tc>
      </w:tr>
      <w:tr>
        <w:tc>
          <w:tcPr>
            <w:tcW w:type="dxa" w:w="5112"/>
          </w:tcPr>
          <w:p>
            <w:r>
              <w:t>Disclosure risk</w:t>
            </w:r>
          </w:p>
        </w:tc>
        <w:tc>
          <w:tcPr>
            <w:tcW w:type="dxa" w:w="5112"/>
          </w:tcPr>
          <w:p>
            <w:r>
              <w:t>The possibility of learning identifying or sensitive facts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Privacy and data governance</w:t>
      </w:r>
    </w:p>
    <w:p>
      <w:pPr>
        <w:pStyle w:val="Heading3"/>
      </w:pPr>
      <w:r>
        <w:t>The facts we will use</w:t>
      </w:r>
    </w:p>
    <w:p>
      <w:r>
        <w:drawing>
          <wp:inline xmlns:a="http://schemas.openxmlformats.org/drawingml/2006/main" xmlns:pic="http://schemas.openxmlformats.org/drawingml/2006/picture">
            <wp:extent cx="5486400" cy="5185229"/>
            <wp:docPr id="3" name="Picture 3" descr="Privacy and data governance. Separate tables: Keep analysis records apart from the identity key.. Limit access: Analysts receive scores and codes, not the name linkage.. Define retention: Apply the approved deletion schedule to both stores and listed copies."/>
            <wp:cNvGraphicFramePr>
              <a:graphicFrameLocks noChangeAspect="1"/>
            </wp:cNvGraphicFramePr>
            <a:graphic>
              <a:graphicData uri="http://schemas.openxmlformats.org/drawingml/2006/picture">
                <pic:pic>
                  <pic:nvPicPr>
                    <pic:cNvPr id="0" name="academy-visual-ai-7-20.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Export has coded ID, exact birth date, classroom and rare condition. Team calls it anonymous because names are removed. Show the intermediate steps and give the conclusion with its scope.</w:t>
      </w:r>
    </w:p>
    <w:p>
      <w:pPr>
        <w:spacing w:line="336" w:lineRule="auto" w:after="180"/>
      </w:pPr>
      <w:r>
        <w:rPr>
          <w:b w:val="0"/>
        </w:rPr>
        <w:t>Teacher check: Teacher explanation: The combination can remain identifying; coded is not necessarily anonymous. Minimise fields and assess disclosure under the declared policy.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Privacy and </w:t>
      </w:r>
      <w:r>
        <w:rPr>
          <w:b/>
        </w:rPr>
        <w:t>data governance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size threshold or coding scheme alone does not guarantee privacy.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Point to the analysis table and the restricted identity key. Why are the codes </w:t>
      </w:r>
      <w:r>
        <w:rPr>
          <w:b/>
        </w:rPr>
        <w:t>pseudonym</w:t>
      </w:r>
      <w:r>
        <w:rPr>
          <w:b w:val="0"/>
        </w:rPr>
        <w:t>ous rather than guaranteed anonymous, and what changes if the key is published?</w:t>
      </w:r>
    </w:p>
    <w:p>
      <w:pPr>
        <w:spacing w:line="336" w:lineRule="auto" w:after="180"/>
      </w:pPr>
      <w:r>
        <w:rPr>
          <w:b w:val="0"/>
        </w:rPr>
        <w:t>Keep analysis records apart from the identity key. Analysts receive scores and codes, not the name linkage. Apply the approved deletion schedule to both stores and listed copies.</w:t>
      </w:r>
    </w:p>
    <w:p>
      <w:pPr>
        <w:spacing w:line="336" w:lineRule="auto" w:after="180"/>
      </w:pPr>
      <w:r>
        <w:rPr>
          <w:b w:val="0"/>
        </w:rPr>
        <w:t>Changed case: The records become directly linkable to names and breach this access design. Separation only helps while the linkage key remains restricted.</w:t>
      </w:r>
    </w:p>
    <w:p>
      <w:pPr>
        <w:spacing w:line="336" w:lineRule="auto" w:after="180"/>
      </w:pPr>
      <w:r>
        <w:rPr>
          <w:b w:val="0"/>
        </w:rPr>
        <w:t xml:space="preserve">The restricted linkage key makes these </w:t>
      </w:r>
      <w:r>
        <w:rPr>
          <w:b/>
        </w:rPr>
        <w:t>pseudonym</w:t>
      </w:r>
      <w:r>
        <w:rPr>
          <w:b w:val="0"/>
        </w:rPr>
        <w:t>ous records, not guaranteed anonymous ones.</w:t>
      </w:r>
    </w:p>
    <w:p>
      <w:pPr>
        <w:spacing w:line="336" w:lineRule="auto" w:after="180"/>
      </w:pPr>
      <w:r>
        <w:rPr>
          <w:b w:val="0"/>
        </w:rPr>
        <w:t>Changed-case reasoning: The records become directly linkable to names and breach this access design. Separation only helps while the linkage key remains restricted.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coded combinations can remain identifying; name removal is insufficient. Picture key publication breaks the declared separation and enables linking. The executable audit checks metadata only. Independent one-member subgroup fails the minimum-five rule; do not report it.</w:t>
      </w:r>
    </w:p>
    <w:p>
      <w:pPr>
        <w:spacing w:line="336" w:lineRule="auto" w:after="180"/>
      </w:pPr>
      <w:r>
        <w:rPr>
          <w:b w:val="0"/>
        </w:rPr>
        <w:t>A suppression or permitted regrouping proposal must consider indirect disclosure, and satisfying the size rule alone never establishes anonymity or export authorization.</w:t>
      </w:r>
    </w:p>
    <w:p>
      <w:pPr>
        <w:pStyle w:val="Heading2"/>
      </w:pPr>
      <w:r>
        <w:t>Diagnose the current misconceptions</w:t>
      </w:r>
    </w:p>
    <w:p>
      <w:pPr>
        <w:spacing w:line="336" w:lineRule="auto" w:after="180"/>
      </w:pPr>
      <w:r>
        <w:rPr>
          <w:b w:val="0"/>
        </w:rPr>
        <w:t>The worked result establishes every future case: A size threshold or coding scheme alone does not guarantee privacy.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Aggregate contains one member in a subgroup; policy forbids subgroup reports smaller than 5. Decide.</w:t>
      </w:r>
    </w:p>
    <w:p>
      <w:pPr>
        <w:spacing w:line="336" w:lineRule="auto" w:after="180"/>
      </w:pPr>
      <w:r>
        <w:rPr>
          <w:b w:val="0"/>
        </w:rPr>
        <w:t>Teacher explanation: Do not release that subgroup table under the fictional policy. Combine only where meaningful and permitted, or omit with explanation.</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Data governance</w:t>
      </w:r>
      <w:r>
        <w:rPr>
          <w:b w:val="0"/>
        </w:rPr>
        <w:t xml:space="preserve"> specifies who may use which records, for what purpose and for how long. Coded data can still be reidentifiable.</w:t>
      </w:r>
    </w:p>
    <w:p>
      <w:pPr>
        <w:spacing w:line="336" w:lineRule="auto" w:after="180"/>
      </w:pPr>
      <w:r>
        <w:rPr>
          <w:b w:val="0"/>
        </w:rPr>
        <w:t>For fictional records separate participant-code table from analysis values; limit access and retention. Remove unnecessary fields and small-group details before a permitted aggregate export.</w:t>
      </w:r>
    </w:p>
    <w:p>
      <w:pPr>
        <w:pStyle w:val="Heading2"/>
      </w:pPr>
      <w:r>
        <w:t>W2 Trace the worked case</w:t>
      </w:r>
    </w:p>
    <w:p>
      <w:pPr>
        <w:spacing w:line="336" w:lineRule="auto" w:after="180"/>
      </w:pPr>
      <w:r>
        <w:rPr>
          <w:b w:val="0"/>
        </w:rPr>
        <w:t>Export has coded ID, exact birth date, classroom and rare condition. Team calls it anonymous because names are removed. Show the intermediate steps and give the conclusion with its scope.</w:t>
      </w:r>
    </w:p>
    <w:p>
      <w:pPr>
        <w:spacing w:line="336" w:lineRule="auto" w:after="180"/>
      </w:pPr>
      <w:r>
        <w:rPr>
          <w:b w:val="0"/>
        </w:rPr>
        <w:t>Teacher explanation: The combination can remain identifying; coded is not necessarily anonymous. Minimise fields and assess disclosure under the declared policy.</w:t>
      </w:r>
    </w:p>
    <w:p>
      <w:pPr>
        <w:pStyle w:val="Heading2"/>
      </w:pPr>
      <w:r>
        <w:t>W3 Audit the limit</w:t>
      </w:r>
    </w:p>
    <w:p>
      <w:pPr>
        <w:spacing w:line="336" w:lineRule="auto" w:after="180"/>
      </w:pPr>
      <w:r>
        <w:rPr>
          <w:b w:val="0"/>
        </w:rPr>
        <w:t>A report omits this qualification: A size threshold or coding scheme alone does not guarantee privacy. Explain how omitting it could change a reader's interpretation, and write an accurate replacement.</w:t>
      </w:r>
    </w:p>
    <w:p>
      <w:pPr>
        <w:spacing w:line="336" w:lineRule="auto" w:after="180"/>
      </w:pPr>
      <w:r>
        <w:rPr>
          <w:b w:val="0"/>
        </w:rPr>
        <w:t>Teacher explanation: A size threshold or coding scheme alone does not guarantee privacy.</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size threshold or coding scheme alone does not guarantee privacy.</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The combination can remain identifying; coded is not necessarily anonymous. Minimise fields and assess disclosure under the declared policy.</w:t>
      </w:r>
    </w:p>
    <w:p>
      <w:pPr>
        <w:spacing w:line="336" w:lineRule="auto" w:after="180"/>
      </w:pPr>
      <w:r>
        <w:rPr>
          <w:b w:val="0"/>
        </w:rPr>
        <w:t>Qualification: A size threshold or coding scheme alone does not guarantee privacy.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Aggregate contains one member in a subgroup; policy forbids subgroup reports smaller than 5. Decide.</w:t>
      </w:r>
    </w:p>
    <w:p>
      <w:pPr>
        <w:spacing w:line="336" w:lineRule="auto" w:after="180"/>
      </w:pPr>
      <w:r>
        <w:rPr>
          <w:b w:val="0"/>
        </w:rPr>
        <w:t>Teacher explanation: Do not release that subgroup table under the fictional policy. Combine only where meaningful and permitted, or omit with explanation.</w:t>
      </w:r>
    </w:p>
    <w:p>
      <w:pPr>
        <w:pStyle w:val="Heading3"/>
      </w:pPr>
      <w:r>
        <w:t>W5 Design a revealing follow-up</w:t>
      </w:r>
    </w:p>
    <w:p>
      <w:pPr>
        <w:pStyle w:val="Heading3"/>
      </w:pPr>
      <w:r>
        <w:t>Independent assessment and fresh retry</w:t>
      </w:r>
    </w:p>
    <w:p>
      <w:pPr>
        <w:spacing w:line="336" w:lineRule="auto" w:after="180"/>
      </w:pPr>
      <w:r>
        <w:rPr>
          <w:b w:val="0"/>
        </w:rPr>
        <w:t>W4: Do not release that subgroup table under the fictional policy. Combine only where meaningful and permitted, or omit with explanation. Require intermediate reasoning and the stated scope.</w:t>
      </w:r>
    </w:p>
    <w:p>
      <w:pPr>
        <w:spacing w:line="336" w:lineRule="auto" w:after="180"/>
      </w:pPr>
      <w:r>
        <w:rPr>
          <w:b w:val="0"/>
        </w:rPr>
        <w:t>Fresh retry: Subgroups sizes4 and6 under minimum5. Expected reasoning: Size4 fails the release policy; size6 satisfies that size rule but still needs other disclosure checks.</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privacy and </w:t>
      </w:r>
      <w:r>
        <w:rPr>
          <w:b/>
        </w:rPr>
        <w:t>data governance</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privacy and </w:t>
      </w:r>
      <w:r>
        <w:rPr>
          <w:b/>
        </w:rPr>
        <w:t>data governance</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Predefining an analysis plan.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ai-7/21, ai-7/23, ai-7/26.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privacy and </w:t>
      </w:r>
      <w:r>
        <w:rPr>
          <w:b/>
        </w:rPr>
        <w:t>data governance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Export has coded ID, exact birth date, classroom and rare condition. Team calls it anonymous because names are removed.</w:t>
      </w:r>
    </w:p>
    <w:p>
      <w:pPr>
        <w:spacing w:line="336" w:lineRule="auto" w:after="180"/>
      </w:pPr>
      <w:r>
        <w:rPr>
          <w:b w:val="0"/>
        </w:rPr>
        <w:t>Show the intermediate steps and give the conclusion with its scope.</w:t>
      </w:r>
    </w:p>
    <w:p>
      <w:pPr>
        <w:spacing w:line="336" w:lineRule="auto" w:after="180"/>
      </w:pPr>
      <w:r>
        <w:rPr>
          <w:b w:val="0"/>
        </w:rPr>
        <w:t>Reasoned practice answer: Teacher explanation: The combination can remain identifying; coded is not necessarily anonymous. Minimise fields and assess disclosure under the declared policy.</w:t>
      </w:r>
    </w:p>
    <w:p>
      <w:pPr>
        <w:spacing w:line="336" w:lineRule="auto" w:after="180"/>
      </w:pPr>
      <w:r>
        <w:rPr>
          <w:b w:val="0"/>
        </w:rPr>
        <w:t xml:space="preserve">Check every learner before discussion: Use the worked case for Privacy and </w:t>
      </w:r>
      <w:r>
        <w:rPr>
          <w:b/>
        </w:rPr>
        <w:t>data governance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size threshold or coding scheme alone does not guarantee privacy.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Publish the identity key with the analysis table. Require a </w:t>
      </w:r>
      <w:r>
        <w:rPr>
          <w:b/>
        </w:rPr>
        <w:t>prediction</w:t>
      </w:r>
      <w:r>
        <w:rPr>
          <w:b w:val="0"/>
        </w:rPr>
        <w:t xml:space="preserve"> and a reason before comparing. Expected result: The records become directly linkable to names and breach this access design.</w:t>
      </w:r>
    </w:p>
    <w:p>
      <w:pPr>
        <w:spacing w:line="336" w:lineRule="auto" w:after="180"/>
      </w:pPr>
      <w:r>
        <w:rPr>
          <w:b w:val="0"/>
        </w:rPr>
        <w:t>Reason: Separation only helps while the linkage key remains restricted.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Privacy and data governance: the case</w:t>
      </w:r>
    </w:p>
    <w:p>
      <w:r>
        <w:drawing>
          <wp:inline xmlns:a="http://schemas.openxmlformats.org/drawingml/2006/main" xmlns:pic="http://schemas.openxmlformats.org/drawingml/2006/picture">
            <wp:extent cx="5486400" cy="2834640"/>
            <wp:docPr id="4" name="Picture 4" descr="Govern data by purpose and access. A fictional project needs task scores and random participant codes, but not names. Supplied facts: The analysis table holds codes and scores. A separate restricted key links codes to names only for authorised withdrawal handling."/>
            <wp:cNvGraphicFramePr>
              <a:graphicFrameLocks noChangeAspect="1"/>
            </wp:cNvGraphicFramePr>
            <a:graphic>
              <a:graphicData uri="http://schemas.openxmlformats.org/drawingml/2006/picture">
                <pic:pic>
                  <pic:nvPicPr>
                    <pic:cNvPr id="0" name="academy-story-ai-7-20-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Govern data by purpose and access. A fictional project needs task scores and random participant codes, but not names. Supplied facts: The analysis table holds codes and scores.</w:t>
      </w:r>
    </w:p>
    <w:p>
      <w:pPr>
        <w:spacing w:line="336" w:lineRule="auto" w:after="180"/>
      </w:pPr>
      <w:r>
        <w:rPr>
          <w:b w:val="0"/>
        </w:rPr>
        <w:t>A separate restricted key links codes to names only for authorised withdrawal handling.</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Separate tables: Keep analysis records apart from the identity key. → Limit access: Analysts receive scores and codes, not the name linkage. → Define retention: Apply the approved deletion schedule to both stores and listed copies."/>
            <wp:cNvGraphicFramePr>
              <a:graphicFrameLocks noChangeAspect="1"/>
            </wp:cNvGraphicFramePr>
            <a:graphic>
              <a:graphicData uri="http://schemas.openxmlformats.org/drawingml/2006/picture">
                <pic:pic>
                  <pic:nvPicPr>
                    <pic:cNvPr id="0" name="academy-story-ai-7-20-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Separate tables: Keep analysis records apart from the identity key. → Limit access: Analysts receive scores and codes, not the name linkage. → Define retention: Apply the approved deletion schedule to both stores and listed copies.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Keep analysis records separate from the identity key</w:t>
      </w:r>
    </w:p>
    <w:p>
      <w:r>
        <w:drawing>
          <wp:inline xmlns:a="http://schemas.openxmlformats.org/drawingml/2006/main" xmlns:pic="http://schemas.openxmlformats.org/drawingml/2006/picture">
            <wp:extent cx="5486400" cy="3520440"/>
            <wp:docPr id="6" name="Picture 6" descr="Analysts receive random participant codes and scores. A separate restricted key links codes to names only for authorised withdrawal handling. Keeping the key restricted reduces exposure; it does not guarantee anonymity."/>
            <wp:cNvGraphicFramePr>
              <a:graphicFrameLocks noChangeAspect="1"/>
            </wp:cNvGraphicFramePr>
            <a:graphic>
              <a:graphicData uri="http://schemas.openxmlformats.org/drawingml/2006/picture">
                <pic:pic>
                  <pic:nvPicPr>
                    <pic:cNvPr id="0" name="academy-story-ai-7-20-03.png"/>
                    <pic:cNvPicPr/>
                  </pic:nvPicPr>
                  <pic:blipFill>
                    <a:blip r:embed="rId13"/>
                    <a:stretch>
                      <a:fillRect/>
                    </a:stretch>
                  </pic:blipFill>
                  <pic:spPr>
                    <a:xfrm>
                      <a:off x="0" y="0"/>
                      <a:ext cx="5486400" cy="3520440"/>
                    </a:xfrm>
                    <a:prstGeom prst="rect"/>
                  </pic:spPr>
                </pic:pic>
              </a:graphicData>
            </a:graphic>
          </wp:inline>
        </w:drawing>
      </w:r>
    </w:p>
    <w:p>
      <w:pPr>
        <w:spacing w:line="336" w:lineRule="auto" w:after="180"/>
      </w:pPr>
      <w:r>
        <w:rPr>
          <w:b w:val="0"/>
        </w:rPr>
        <w:t>Analysts receive random participant codes and scores. A separate restricted key links codes to names only for authorised withdrawal handling. Keeping the key restricted reduces exposure; it does not guarantee anonymity.</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Apply the approved deletion schedule to both stores and listed copies. Changed condition: Publish the identity key with the analysis table. Expected result: The records become directly linkable to names and breach this access design. Reason: Separation only helps while the linkage key remains restricted."/>
            <wp:cNvGraphicFramePr>
              <a:graphicFrameLocks noChangeAspect="1"/>
            </wp:cNvGraphicFramePr>
            <a:graphic>
              <a:graphicData uri="http://schemas.openxmlformats.org/drawingml/2006/picture">
                <pic:pic>
                  <pic:nvPicPr>
                    <pic:cNvPr id="0" name="academy-story-ai-7-2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Apply the approved deletion schedule to both stores and listed copies. Changed condition: Publish the identity key with the analysis table.</w:t>
      </w:r>
    </w:p>
    <w:p>
      <w:pPr>
        <w:spacing w:line="336" w:lineRule="auto" w:after="180"/>
      </w:pPr>
      <w:r>
        <w:rPr>
          <w:b w:val="0"/>
        </w:rPr>
        <w:t>Expected result: The records become directly linkable to names and breach this access design. Reason: Separation only helps while the linkage key remains restricted.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Separation only helps while the linkage key remains restricted.</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Pseudonymous codes reduce routine exposure but are not the same as irreversible anonymity. Governance specifies purpose, readers, locations and retention. Limit: Small groups or unusual records may still be identifiable without names; evaluate re-identification risk."/>
            <wp:cNvGraphicFramePr>
              <a:graphicFrameLocks noChangeAspect="1"/>
            </wp:cNvGraphicFramePr>
            <a:graphic>
              <a:graphicData uri="http://schemas.openxmlformats.org/drawingml/2006/picture">
                <pic:pic>
                  <pic:nvPicPr>
                    <pic:cNvPr id="0" name="academy-story-ai-7-2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Pseudonym</w:t>
      </w:r>
      <w:r>
        <w:rPr>
          <w:b w:val="0"/>
        </w:rPr>
        <w:t>ous codes reduce routine exposure but are not the same as irreversible anonymity. Governance specifies purpose, readers, locations and retention.</w:t>
      </w:r>
    </w:p>
    <w:p>
      <w:pPr>
        <w:spacing w:line="336" w:lineRule="auto" w:after="180"/>
      </w:pPr>
      <w:r>
        <w:rPr>
          <w:b w:val="0"/>
        </w:rPr>
        <w:t>Limit: Small groups or unusual records may still be identifiable without names; evaluate re-identification risk.</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Small groups or unusual records may still be identifiable without names; evaluate re-identification risk.</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Point to the analysis table and the restricted identity key. Why are the codes pseudonymous rather than guaranteed anonymous, and what changes if the key is published?"/>
            <wp:cNvGraphicFramePr>
              <a:graphicFrameLocks noChangeAspect="1"/>
            </wp:cNvGraphicFramePr>
            <a:graphic>
              <a:graphicData uri="http://schemas.openxmlformats.org/drawingml/2006/picture">
                <pic:pic>
                  <pic:nvPicPr>
                    <pic:cNvPr id="0" name="academy-story-ai-7-2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Point to the analysis table and the restricted identity key.</w:t>
      </w:r>
    </w:p>
    <w:p>
      <w:pPr>
        <w:spacing w:line="336" w:lineRule="auto" w:after="180"/>
      </w:pPr>
      <w:r>
        <w:rPr>
          <w:b w:val="0"/>
        </w:rPr>
        <w:t xml:space="preserve">Why are the codes </w:t>
      </w:r>
      <w:r>
        <w:rPr>
          <w:b/>
        </w:rPr>
        <w:t>pseudonym</w:t>
      </w:r>
      <w:r>
        <w:rPr>
          <w:b w:val="0"/>
        </w:rPr>
        <w:t>ous rather than guaranteed anonymous, and what changes if the key is published?</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Keep analysis records apart from the identity key. Analysts receive scores and codes, not the name linkage. Apply the approved deletion schedule to both stores and listed copies.</w:t>
      </w:r>
    </w:p>
    <w:p>
      <w:pPr>
        <w:spacing w:line="336" w:lineRule="auto" w:after="180"/>
      </w:pPr>
      <w:r>
        <w:rPr>
          <w:b w:val="0"/>
        </w:rPr>
        <w:t>Changed case: The records become directly linkable to names and breach this access design. Separation only helps while the linkage key remains restricted.</w:t>
      </w:r>
    </w:p>
    <w:p>
      <w:pPr>
        <w:spacing w:line="336" w:lineRule="auto" w:after="180"/>
      </w:pPr>
      <w:r>
        <w:rPr>
          <w:b w:val="0"/>
        </w:rPr>
        <w:t xml:space="preserve">The restricted linkage key makes these </w:t>
      </w:r>
      <w:r>
        <w:rPr>
          <w:b/>
        </w:rPr>
        <w:t>pseudonym</w:t>
      </w:r>
      <w:r>
        <w:rPr>
          <w:b w:val="0"/>
        </w:rPr>
        <w:t>ous records, not guaranteed anonymous ones.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Privacy and data governance: the case</w:t>
      </w:r>
    </w:p>
    <w:p>
      <w:pPr>
        <w:pStyle w:val="Heading3"/>
      </w:pPr>
      <w:r>
        <w:t>02. Follow the deciding steps</w:t>
      </w:r>
    </w:p>
    <w:p>
      <w:pPr>
        <w:pStyle w:val="Heading3"/>
      </w:pPr>
      <w:r>
        <w:t>03. Keep analysis records separate from the identity key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