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ai-3/30</w:t>
      </w:r>
    </w:p>
    <w:p>
      <w:pPr>
        <w:pStyle w:val="Title"/>
      </w:pPr>
      <w:r>
        <w:t>Bias and Representation</w:t>
      </w:r>
    </w:p>
    <w:p>
      <w:r>
        <w:t>Project: Verified Study Buddy</w:t>
      </w:r>
    </w:p>
    <w:p>
      <w:pPr>
        <w:pStyle w:val="Heading1"/>
      </w:pPr>
      <w:r>
        <w:t>One connected representation and outcome-audit record.</w:t>
      </w:r>
    </w:p>
    <w:p>
      <w:r>
        <w:t>Explain the criteria, trace rates, audit overclaims and design a controlled retest.</w:t>
      </w:r>
    </w:p>
    <w:p>
      <w:r>
        <w:t>Retain task, source coverage, denominator, exact failure evidence and unresolved explanations.</w:t>
      </w:r>
    </w:p>
    <w:p>
      <w:pPr>
        <w:pStyle w:val="Heading1"/>
      </w:pPr>
      <w:r>
        <w:t>01. Recall: reconnect earlier ideas</w:t>
      </w:r>
    </w:p>
    <w:p>
      <w:r>
        <w:t>Retrieve before opening notes.</w:t>
      </w:r>
    </w:p>
    <w:p>
      <w:pPr>
        <w:pStyle w:val="Heading2"/>
      </w:pPr>
      <w:r>
        <w:t>Retrieve and explain</w:t>
      </w:r>
    </w:p>
    <w:p>
      <w:pPr>
        <w:pStyle w:val="ListBullet"/>
      </w:pPr>
      <w:r>
        <w:t>Try the recall before opening notes. Then use a different colour or a labelled second line to correct your explanation.</w:t>
      </w:r>
    </w:p>
    <w:p>
      <w:pPr>
        <w:pStyle w:val="ListBullet"/>
      </w:pPr>
      <w:r>
        <w:t>Without opening the old lesson, explain one key idea from Copyright and Provenance.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Red Team the Product.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Prototype a Grounded Assistant.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Copyright and Provenance</w:t>
      </w:r>
    </w:p>
    <w:p>
      <w:pPr>
        <w:pStyle w:val="Heading3"/>
      </w:pPr>
      <w:r>
        <w:t>Red Team the Product</w:t>
      </w:r>
    </w:p>
    <w:p>
      <w:pPr>
        <w:pStyle w:val="Heading3"/>
      </w:pPr>
      <w:r>
        <w:t>Prototype a Grounded Assistant</w:t>
      </w:r>
    </w:p>
    <w:p>
      <w:pPr>
        <w:pStyle w:val="Heading1"/>
      </w:pPr>
      <w:r>
        <w:t>12. W1 · Explain a task-specific bias audit</w:t>
      </w:r>
    </w:p>
    <w:p>
      <w:r>
        <w:t>Name relevant conditions, outcomes, sources and group sizes.</w:t>
      </w:r>
    </w:p>
    <w:p>
      <w:pPr>
        <w:pStyle w:val="Heading2"/>
      </w:pPr>
      <w:r>
        <w:t>Your evidence record</w:t>
      </w:r>
    </w:p>
    <w:p>
      <w:pPr>
        <w:pStyle w:val="ListBullet"/>
      </w:pPr>
      <w:r>
        <w:t>W2 A/B: 9/10 and 6/10 give 90% and 60%, gap 30 percentage points; causes unknown. Main Birch/Pine: 6/8 and 9/12 both 75%; changed Pine 6/12=50%, 25 points below Birch. Preserve case difficulty/source coverage and error types. Group labels are fictional and supply no demographic identity. Equal rates do not prove all fairness questions resolved; differences alone do not establish a causal mechanism.</w:t>
      </w:r>
    </w:p>
    <w:p>
      <w:pPr>
        <w:pStyle w:val="ListBullet"/>
      </w:pPr>
      <w:r>
        <w:t>Reference for this exercise: open this week’s student lesson, “Bias and Representation”, at “See how it works” and “Follow a worked example”. Use the original worked values or code named in the question; the later pictorial case is a separate example. Keep this reference beside your workbook while practising.</w:t>
      </w:r>
    </w:p>
    <w:p>
      <w:pPr>
        <w:pStyle w:val="ListBullet"/>
      </w:pPr>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 Trace the A/B rates</w:t>
      </w:r>
    </w:p>
    <w:p>
      <w:r>
        <w:t>Keep subgroup denominators and distinguish percentage points.</w:t>
      </w:r>
    </w:p>
    <w:p>
      <w:pPr>
        <w:pStyle w:val="Heading2"/>
      </w:pPr>
      <w:r>
        <w:t>Your evidence record</w:t>
      </w:r>
    </w:p>
    <w:p>
      <w:pPr>
        <w:pStyle w:val="ListBullet"/>
      </w:pPr>
      <w:r>
        <w:t>W2 A/B: 9/10 and 6/10 give 90% and 60%, gap 30 percentage points; causes unknown. Main Birch/Pine: 6/8 and 9/12 both 75%; changed Pine 6/12=50%, 25 points below Birch. Preserve case difficulty/source coverage and error types. Group labels are fictional and supply no demographic identity. Equal rates do not prove all fairness questions resolved; differences alone do not establish a causal mechanism.</w:t>
      </w:r>
    </w:p>
    <w:p>
      <w:pPr>
        <w:pStyle w:val="ListBullet"/>
      </w:pPr>
      <w:r>
        <w:t>A grounded assistant supports 9 of 10 group-A cases and 6 of 10 group-B cases.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 Audit a causal overclaim</w:t>
      </w:r>
    </w:p>
    <w:p>
      <w:r>
        <w:t>A difference in rates does not identify its cause.</w:t>
      </w:r>
    </w:p>
    <w:p>
      <w:pPr>
        <w:pStyle w:val="Heading2"/>
      </w:pPr>
      <w:r>
        <w:t>Your evidence record</w:t>
      </w:r>
    </w:p>
    <w:p>
      <w:pPr>
        <w:pStyle w:val="ListBullet"/>
      </w:pPr>
      <w:r>
        <w:t>W2 A/B: 9/10 and 6/10 give 90% and 60%, gap 30 percentage points; causes unknown. Main Birch/Pine: 6/8 and 9/12 both 75%; changed Pine 6/12=50%, 25 points below Birch. Preserve case difficulty/source coverage and error types. Group labels are fictional and supply no demographic identity. Equal rates do not prove all fairness questions resolved; differences alone do not establish a causal mechanism.</w:t>
      </w:r>
    </w:p>
    <w:p>
      <w:pPr>
        <w:pStyle w:val="ListBullet"/>
      </w:pPr>
      <w:r>
        <w:t>A report omits this qualification: Group comparisons require task relevance and appropriate data governance; differences alone do not identify a causal mechanism.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 Design a controlled follow-up</w:t>
      </w:r>
    </w:p>
    <w:p>
      <w:r>
        <w:t>Hold the task and rubric fixed and predict before testing.</w:t>
      </w:r>
    </w:p>
    <w:p>
      <w:pPr>
        <w:pStyle w:val="Heading2"/>
      </w:pPr>
      <w:r>
        <w:t>Your evidence record</w:t>
      </w:r>
    </w:p>
    <w:p>
      <w:pPr>
        <w:pStyle w:val="ListBullet"/>
      </w:pPr>
      <w:r>
        <w:t>W2 A/B: 9/10 and 6/10 give 90% and 60%, gap 30 percentage points; causes unknown. Main Birch/Pine: 6/8 and 9/12 both 75%; changed Pine 6/12=50%, 25 points below Birch. Preserve case difficulty/source coverage and error types. Group labels are fictional and supply no demographic identity. Equal rates do not prove all fairness questions resolved; differences alone do not establish a causal mechanism.</w:t>
      </w:r>
    </w:p>
    <w:p>
      <w:pPr>
        <w:pStyle w:val="ListBullet"/>
      </w:pPr>
      <w:r>
        <w:t>Reference for this exercise: open this week’s student lesson, “Bias and Representation”, at “See how it works” and “Follow a worked example”. Use the original worked values or code named in the question; the later pictorial case is a separate example. Keep this reference beside your workbook while practising.</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W4 · Compare the fresh unequal-size C/D groups independently</w:t>
      </w:r>
    </w:p>
    <w:p>
      <w:r>
        <w:t>Keep one first attempt before hints or feedback.</w:t>
      </w:r>
    </w:p>
    <w:p>
      <w:pPr>
        <w:pStyle w:val="Heading2"/>
      </w:pPr>
      <w:r>
        <w:t>Read and explain independently</w:t>
      </w:r>
    </w:p>
    <w:p>
      <w:pPr>
        <w:spacing w:line="336" w:lineRule="auto" w:after="180"/>
      </w:pPr>
      <w:r>
        <w:rPr>
          <w:b w:val="0"/>
        </w:rPr>
        <w:t>Use the stated supported-answer counts and group sizes. C/D are fictional labels; no demographic identity, matched difficulty or causal explanation is supplied. Report the comparison in percentage points and explain what more would be needed to interpret it.</w:t>
      </w:r>
    </w:p>
    <w:p>
      <w:pPr>
        <w:spacing w:line="336" w:lineRule="auto" w:after="180"/>
      </w:pPr>
      <w:r>
        <w:rPr>
          <w:b w:val="0"/>
        </w:rPr>
        <w:t>Group C has 8 supported answers out of 10; D has 9 out of 15. Compute rates and difference; explain why raw correct totals mislead.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Keep a fair record</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Earlier wording, alternatives and picture transcripts · reference / check after trying</w:t>
      </w:r>
    </w:p>
    <w:p>
      <w:pPr>
        <w:pStyle w:val="Heading3"/>
      </w:pPr>
      <w:r>
        <w:t>Independent case: Apply a new case independently</w:t>
      </w:r>
    </w:p>
    <w:p>
      <w:pPr>
        <w:pStyle w:val="Heading1"/>
      </w:pPr>
      <w:r>
        <w:t>09. Project · Keep the decision and its evidence</w:t>
      </w:r>
    </w:p>
    <w:p>
      <w:r>
        <w:t>Add this week’s change to your existing project record.</w:t>
      </w:r>
    </w:p>
    <w:p>
      <w:pPr>
        <w:pStyle w:val="Heading2"/>
      </w:pPr>
      <w:r>
        <w:t>Your evidence record</w:t>
      </w:r>
    </w:p>
    <w:p>
      <w:pPr>
        <w:spacing w:line="336" w:lineRule="auto" w:after="180"/>
      </w:pPr>
      <w:r>
        <w:rPr>
          <w:b/>
        </w:rPr>
        <w:t>Audit</w:t>
      </w:r>
      <w:r>
        <w:rPr>
          <w:b w:val="0"/>
        </w:rPr>
        <w:t xml:space="preserve"> answer quality across reading levels, languages, names, and accessibility needs.</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 Repair and return</w:t>
      </w:r>
    </w:p>
    <w:p>
      <w:r>
        <w:t>Keep the first attempt, the repair and a changed-case return.</w:t>
      </w:r>
    </w:p>
    <w:p>
      <w:pPr>
        <w:pStyle w:val="Heading2"/>
      </w:pPr>
      <w:r>
        <w:t>Your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10. Finish · Judge the evidence in your work</w:t>
      </w:r>
    </w:p>
    <w:p>
      <w:r>
        <w:t>Point to work that supports your confidence level.</w:t>
      </w:r>
    </w:p>
    <w:p>
      <w:pPr>
        <w:pStyle w:val="Heading2"/>
      </w:pPr>
      <w:r>
        <w:t>Your evidence record</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Reference bank and extra practice</w:t>
      </w:r>
    </w:p>
    <w:p>
      <w:pPr>
        <w:pStyle w:val="Heading1"/>
      </w:pPr>
      <w:r>
        <w:t>02. Reference · Supported W2 record</w:t>
      </w:r>
    </w:p>
    <w:p>
      <w:r>
        <w:t>This is the same W2 attempt. Keep one response record.</w:t>
      </w:r>
    </w:p>
    <w:p>
      <w:pPr>
        <w:pStyle w:val="Heading2"/>
      </w:pPr>
      <w:r>
        <w:t>Use this when helpful</w:t>
      </w:r>
    </w:p>
    <w:p>
      <w:pPr>
        <w:spacing w:line="336" w:lineRule="auto" w:after="180"/>
      </w:pPr>
      <w:r>
        <w:rPr>
          <w:b w:val="0"/>
        </w:rPr>
        <w:t xml:space="preserve">Use W2: Trace the worked case for </w:t>
      </w:r>
      <w:r>
        <w:rPr>
          <w:b/>
        </w:rPr>
        <w:t>Representation</w:t>
      </w:r>
      <w:r>
        <w:rPr>
          <w:b w:val="0"/>
        </w:rPr>
        <w:t xml:space="preserve"> and bias evaluation.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Repair the explanation</w:t>
      </w:r>
    </w:p>
    <w:p>
      <w:r>
        <w:t>Explain the deciding fact before discussing the answer.</w:t>
      </w:r>
    </w:p>
    <w:p>
      <w:pPr>
        <w:pStyle w:val="Heading2"/>
      </w:pPr>
      <w:r>
        <w:t>Use this when helpful</w:t>
      </w:r>
    </w:p>
    <w:p>
      <w:pPr>
        <w:spacing w:line="336" w:lineRule="auto" w:after="180"/>
      </w:pPr>
      <w:r>
        <w:rPr>
          <w:b w:val="0"/>
        </w:rPr>
        <w:t xml:space="preserve">Use the worked case for </w:t>
      </w:r>
      <w:r>
        <w:rPr>
          <w:b/>
        </w:rPr>
        <w:t>Representation</w:t>
      </w:r>
      <w:r>
        <w:rPr>
          <w:b w:val="0"/>
        </w:rPr>
        <w:t xml:space="preserve"> and bias evaluation.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Reference · Original learning target</w:t>
      </w:r>
    </w:p>
    <w:p>
      <w:r>
        <w:t>Use this target to inspect an explanation.</w:t>
      </w:r>
    </w:p>
    <w:p>
      <w:pPr>
        <w:pStyle w:val="Heading2"/>
      </w:pPr>
      <w:r>
        <w:t>Use this when helpful</w:t>
      </w:r>
    </w:p>
    <w:p>
      <w:pPr>
        <w:spacing w:line="336" w:lineRule="auto" w:after="180"/>
      </w:pPr>
      <w:r>
        <w:rPr>
          <w:b w:val="0"/>
        </w:rPr>
        <w:t xml:space="preserve">An illustration set always shows scientists in the same role and appearance. Define a review that examines </w:t>
      </w:r>
      <w:r>
        <w:rPr>
          <w:b/>
        </w:rPr>
        <w:t>representation</w:t>
      </w:r>
      <w:r>
        <w:rPr>
          <w:b w:val="0"/>
        </w:rPr>
        <w:t xml:space="preserve"> without inferring personal identities from images.</w:t>
      </w:r>
    </w:p>
    <w:p>
      <w:pPr>
        <w:pStyle w:val="Heading1"/>
      </w:pPr>
      <w:r>
        <w:t>06. Extra practice · A complete case</w:t>
      </w:r>
    </w:p>
    <w:p>
      <w:r>
        <w:t>Try the question before checking the worked explanation.</w:t>
      </w:r>
    </w:p>
    <w:p>
      <w:pPr>
        <w:pStyle w:val="Heading2"/>
      </w:pPr>
      <w:r>
        <w:t>Use this when helpful</w:t>
      </w:r>
    </w:p>
    <w:p>
      <w:pPr>
        <w:spacing w:line="336" w:lineRule="auto" w:after="180"/>
      </w:pPr>
      <w:r>
        <w:rPr>
          <w:b w:val="0"/>
        </w:rPr>
        <w:t>Scientist images repeatedly show only one demographic group.</w:t>
      </w:r>
    </w:p>
    <w:p>
      <w:pPr>
        <w:spacing w:line="336" w:lineRule="auto" w:after="180"/>
      </w:pPr>
      <w:r>
        <w:rPr>
          <w:b w:val="0"/>
        </w:rPr>
        <w:t xml:space="preserve">Evaluate and improve </w:t>
      </w:r>
      <w:r>
        <w:rPr>
          <w:b/>
        </w:rPr>
        <w:t>representation</w:t>
      </w:r>
      <w:r>
        <w:rPr>
          <w:b w:val="0"/>
        </w:rPr>
        <w:t>.</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Extra practice · A changed case</w:t>
      </w:r>
    </w:p>
    <w:p>
      <w:r>
        <w:t>Keep this practice separate from the reserved independent attempt.</w:t>
      </w:r>
    </w:p>
    <w:p>
      <w:pPr>
        <w:pStyle w:val="Heading2"/>
      </w:pPr>
      <w:r>
        <w:t>Use this when helpful</w:t>
      </w:r>
    </w:p>
    <w:p>
      <w:pPr>
        <w:spacing w:line="336" w:lineRule="auto" w:after="180"/>
      </w:pPr>
      <w:r>
        <w:rPr>
          <w:b w:val="0"/>
        </w:rPr>
        <w:t>An assistant is tested on six fluent requests but no requests with spelling errors. What gap does this leave, and how should the evaluation expand?</w:t>
      </w:r>
    </w:p>
    <w:p>
      <w:pPr>
        <w:spacing w:line="336" w:lineRule="auto" w:after="180"/>
      </w:pPr>
      <w:r>
        <w:rPr>
          <w:b w:val="0"/>
        </w:rPr>
        <w:t>My practice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30 Test and reflect</w:t>
      </w:r>
    </w:p>
    <w:p>
      <w:pPr>
        <w:pStyle w:val="Heading1"/>
      </w:pPr>
      <w:r>
        <w:t>08. Extra practice · Design a revealing test</w:t>
      </w:r>
    </w:p>
    <w:p>
      <w:r>
        <w:t>Predict before tracing or testing.</w:t>
      </w:r>
    </w:p>
    <w:p>
      <w:pPr>
        <w:pStyle w:val="Heading2"/>
      </w:pPr>
      <w:r>
        <w:t>Use this when helpful</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11. Reference · Original target response space</w:t>
      </w:r>
    </w:p>
    <w:p>
      <w:r>
        <w:t>This teaching case is practice rather than a fresh assessment.</w:t>
      </w:r>
    </w:p>
    <w:p>
      <w:pPr>
        <w:pStyle w:val="Heading2"/>
      </w:pPr>
      <w:r>
        <w:t>Use this when helpful</w:t>
      </w:r>
    </w:p>
    <w:p>
      <w:pPr>
        <w:spacing w:line="336" w:lineRule="auto" w:after="180"/>
      </w:pPr>
      <w:r>
        <w:rPr>
          <w:b w:val="0"/>
        </w:rPr>
        <w:t xml:space="preserve">An illustration set always shows scientists in the same role and appearance. Define a review that examines </w:t>
      </w:r>
      <w:r>
        <w:rPr>
          <w:b/>
        </w:rPr>
        <w:t>representation</w:t>
      </w:r>
      <w:r>
        <w:rPr>
          <w:b w:val="0"/>
        </w:rPr>
        <w:t xml:space="preserve"> without inferring personal identities from images.</w:t>
      </w:r>
    </w:p>
    <w:p>
      <w:pPr>
        <w:pStyle w:val="Heading3"/>
      </w:pPr>
      <w:r>
        <w:t>My explanation after practice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15. Reference · Independent-case response copy</w:t>
      </w:r>
    </w:p>
    <w:p>
      <w:r>
        <w:t>This duplicates W4. Reuse the same first-attempt record.</w:t>
      </w:r>
    </w:p>
    <w:p>
      <w:pPr>
        <w:pStyle w:val="Heading2"/>
      </w:pPr>
      <w:r>
        <w:t>Use this when helpful</w:t>
      </w:r>
    </w:p>
    <w:p>
      <w:pPr>
        <w:spacing w:line="336" w:lineRule="auto" w:after="180"/>
      </w:pPr>
      <w:r>
        <w:rPr>
          <w:b w:val="0"/>
        </w:rPr>
        <w:t>Group C has 8 supported answers out of 10; D has 9 out of 15. Compute rates and difference; explain why raw correct totals mislead.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Extra practice · Use the worked picture</w:t>
      </w:r>
    </w:p>
    <w:p>
      <w:r>
        <w:t>Keep the explanation and the support you used.</w:t>
      </w:r>
    </w:p>
    <w:p>
      <w:pPr>
        <w:pStyle w:val="Heading2"/>
      </w:pPr>
      <w:r>
        <w:t>Use this when helpful</w:t>
      </w:r>
    </w:p>
    <w:p>
      <w:pPr>
        <w:spacing w:line="336" w:lineRule="auto" w:after="180"/>
      </w:pPr>
      <w:r>
        <w:rPr>
          <w:b w:val="0"/>
        </w:rPr>
        <w:t>Compare study-answer support rates when groups have different numbers of questions.</w:t>
      </w:r>
    </w:p>
    <w:p>
      <w:pPr>
        <w:spacing w:line="336" w:lineRule="auto" w:after="180"/>
      </w:pPr>
      <w:r>
        <w:rPr>
          <w:b w:val="0"/>
        </w:rPr>
        <w:t>Group Birch has 6 supported answers in 8 cases; group Pine has 9 supported answers in 12 cases. Both groups use the same support rubric.</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Bias and Representation. Keep denominators: Birch: 6/8. Pine: 9/12.. Compare rates: Both support rates are 75%; Pine has more correct answers because it has more cases.. Inspect errors: Check the two Birch and three Pine failures before deciding what revision each needs."/>
            <wp:cNvGraphicFramePr>
              <a:graphicFrameLocks noChangeAspect="1"/>
            </wp:cNvGraphicFramePr>
            <a:graphic>
              <a:graphicData uri="http://schemas.openxmlformats.org/drawingml/2006/picture">
                <pic:pic>
                  <pic:nvPicPr>
                    <pic:cNvPr id="0" name="academy-visual-ai-3-30.png"/>
                    <pic:cNvPicPr/>
                  </pic:nvPicPr>
                  <pic:blipFill>
                    <a:blip r:embed="rId9"/>
                    <a:stretch>
                      <a:fillRect/>
                    </a:stretch>
                  </pic:blipFill>
                  <pic:spPr>
                    <a:xfrm>
                      <a:off x="0" y="0"/>
                      <a:ext cx="5486400" cy="5225143"/>
                    </a:xfrm>
                    <a:prstGeom prst="rect"/>
                  </pic:spPr>
                </pic:pic>
              </a:graphicData>
            </a:graphic>
          </wp:inline>
        </w:drawing>
      </w:r>
    </w:p>
    <w:p>
      <w:pPr>
        <w:spacing w:line="336" w:lineRule="auto" w:after="180"/>
      </w:pPr>
      <w:r>
        <w:rPr>
          <w:b w:val="0"/>
        </w:rPr>
        <w:t xml:space="preserve">Explain why comparing six correct answers in each group would mislead.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19. Reference · Project portfolio record</w:t>
      </w:r>
    </w:p>
    <w:p>
      <w:r>
        <w:t>Extend your main project response when helpful.</w:t>
      </w:r>
    </w:p>
    <w:p>
      <w:pPr>
        <w:pStyle w:val="Heading2"/>
      </w:pPr>
      <w:r>
        <w:t>Use this when helpful</w:t>
      </w:r>
    </w:p>
    <w:p>
      <w:pPr>
        <w:spacing w:line="336" w:lineRule="auto" w:after="180"/>
      </w:pPr>
      <w:r>
        <w:rPr>
          <w:b w:val="0"/>
        </w:rPr>
        <w:t>Project: Verified Study Buddy</w:t>
      </w:r>
    </w:p>
    <w:p>
      <w:pPr>
        <w:spacing w:line="336" w:lineRule="auto" w:after="180"/>
      </w:pPr>
      <w:r>
        <w:rPr>
          <w:b w:val="0"/>
        </w:rPr>
        <w:t xml:space="preserve">Current milestone: Prepare the demonstration. Gather reproducible instructions, </w:t>
      </w:r>
      <w:r>
        <w:rPr>
          <w:b/>
        </w:rPr>
        <w:t>evidence</w:t>
      </w:r>
      <w:r>
        <w:rPr>
          <w:b w:val="0"/>
        </w:rPr>
        <w:t>, access checks and remaining limitations.</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Extra practice: pictures, repair and feedback</w:t>
      </w:r>
    </w:p>
    <w:p>
      <w:r>
        <w:t>Attempt each question before opening its explanation. Use one browser or paper copy.</w:t>
      </w:r>
    </w:p>
    <w:p>
      <w:pPr>
        <w:pStyle w:val="Heading2"/>
      </w:pPr>
      <w:r>
        <w:t>First supported question</w:t>
      </w:r>
    </w:p>
    <w:p>
      <w:pPr>
        <w:pStyle w:val="ListBullet"/>
      </w:pPr>
      <w:r>
        <w:t>Compare study-answer support rates when groups have different numbers of questions.</w:t>
      </w:r>
    </w:p>
    <w:p>
      <w:pPr>
        <w:pStyle w:val="Heading3"/>
      </w:pPr>
      <w:r>
        <w:t>Practice 1: explain the deciding evidence</w:t>
      </w:r>
    </w:p>
    <w:p>
      <w:pPr>
        <w:pStyle w:val="ListBullet"/>
      </w:pPr>
      <w:r>
        <w:t>Which labelled step matches this detail? Check the two Birch and three Pine failures before deciding what revision each needs.</w:t>
      </w:r>
    </w:p>
    <w:p>
      <w:pPr>
        <w:pStyle w:val="ListBullet"/>
      </w:pPr>
      <w:r>
        <w:t>1. Compare rates</w:t>
      </w:r>
    </w:p>
    <w:p>
      <w:pPr>
        <w:pStyle w:val="ListBullet"/>
      </w:pPr>
      <w:r>
        <w:t>2. Inspect errors</w:t>
      </w:r>
    </w:p>
    <w:p>
      <w:pPr>
        <w:pStyle w:val="ListBullet"/>
      </w:pPr>
      <w:r>
        <w:t>3. Keep denominators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ListBullet"/>
      </w:pPr>
      <w:r>
        <w:t>After your attempt, compare with the supported explanation: Inspect errors Check the two Birch and three Pine failures before deciding what revision each needs. Read the picture in order. Check the two Birch and three Pine failures before deciding what revision each needs. The arrows show which recorded input or intermediate result each decision uses. Explain the deciding step aloud before checking the changed case; pointing to the final answer alone does not show how it follows.</w:t>
      </w:r>
    </w:p>
    <w:p>
      <w:pPr>
        <w:pStyle w:val="Heading2"/>
      </w:pPr>
      <w:r>
        <w:t>Check the first explanation · reference / check after trying</w:t>
      </w:r>
    </w:p>
    <w:p>
      <w:pPr>
        <w:pStyle w:val="Heading3"/>
      </w:pPr>
      <w:r>
        <w:t>Practice 2: explain the deciding evidence</w:t>
      </w:r>
    </w:p>
    <w:p>
      <w:pPr>
        <w:pStyle w:val="Heading2"/>
      </w:pPr>
      <w:r>
        <w:t>Changed-case question</w:t>
      </w:r>
    </w:p>
    <w:p>
      <w:pPr>
        <w:pStyle w:val="ListBullet"/>
      </w:pPr>
      <w:r>
        <w:t>Changed-case practice: Pine instead has 6 supported answers out of 12. Which conclusion is supported by the supplied facts?</w:t>
      </w:r>
    </w:p>
    <w:p>
      <w:pPr>
        <w:pStyle w:val="ListBullet"/>
      </w:pPr>
      <w:r>
        <w:t>1. This one example guarantees correct results for every future input.</w:t>
      </w:r>
    </w:p>
    <w:p>
      <w:pPr>
        <w:pStyle w:val="ListBullet"/>
      </w:pPr>
      <w:r>
        <w:t>2. Pine is 50%, which is 25 percentage points below Birch.</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ListBullet"/>
      </w:pPr>
      <w:r>
        <w:t>After your attempt, compare with the supported explanation: Pine is 50%, which is 25 percentage points below Birch. Equal correct counts do not imply equal rates when denominators differ.</w:t>
      </w:r>
    </w:p>
    <w:p>
      <w:pPr>
        <w:pStyle w:val="Heading2"/>
      </w:pPr>
      <w:r>
        <w:t>Check the changed case · reference / check after trying</w:t>
      </w:r>
    </w:p>
    <w:p>
      <w:pPr>
        <w:pStyle w:val="Heading3"/>
      </w:pPr>
      <w:r>
        <w:t>Repair a missing building block</w:t>
      </w:r>
    </w:p>
    <w:p>
      <w:pPr>
        <w:pStyle w:val="Heading2"/>
      </w:pPr>
      <w:r>
        <w:t>Repair and save your work</w:t>
      </w:r>
    </w:p>
    <w:p>
      <w:pPr>
        <w:spacing w:line="336" w:lineRule="auto" w:after="180"/>
      </w:pPr>
      <w:r>
        <w:rPr>
          <w:b w:val="0"/>
        </w:rPr>
        <w:t xml:space="preserve">Review Copyright and Provenance (ai-3/29). Goal: Explain the </w:t>
      </w:r>
      <w:r>
        <w:rPr>
          <w:b/>
        </w:rPr>
        <w:t>mechanism</w:t>
      </w:r>
      <w:r>
        <w:rPr>
          <w:b w:val="0"/>
        </w:rPr>
        <w:t xml:space="preserve"> and terminology of copyright and permitted sources. Short practice: Does acknowledging Fern make a cropped version permitted?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Red Team the Product (ai-3/27). Goal: Explain the </w:t>
      </w:r>
      <w:r>
        <w:rPr>
          <w:b/>
        </w:rPr>
        <w:t>mechanism</w:t>
      </w:r>
      <w:r>
        <w:rPr>
          <w:b w:val="0"/>
        </w:rPr>
        <w:t xml:space="preserve"> and terminology of red team exercises. Short practice: Why does the original test fail even if no upload succeeded?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Prototype a Grounded Assistant (ai-3/24). Goal: Explain the </w:t>
      </w:r>
      <w:r>
        <w:rPr>
          <w:b/>
        </w:rPr>
        <w:t>mechanism</w:t>
      </w:r>
      <w:r>
        <w:rPr>
          <w:b w:val="0"/>
        </w:rPr>
        <w:t xml:space="preserve"> and terminology of capstone grounded assistant. Short practice: Can PL2 alone support “check the soil daily”?</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Keep your completed work</w:t>
      </w:r>
    </w:p>
    <w:p>
      <w:pPr>
        <w:pStyle w:val="Heading1"/>
      </w:pPr>
      <w:r>
        <w:t>21. Reference · Six-picture response sheets</w:t>
      </w:r>
    </w:p>
    <w:p>
      <w:r>
        <w:t>Choose the image that helps rather than repeating all six.</w:t>
      </w:r>
    </w:p>
    <w:p>
      <w:pPr>
        <w:pStyle w:val="Heading2"/>
      </w:pPr>
      <w:r>
        <w:t>01. Bias and Representation: the case</w:t>
      </w:r>
    </w:p>
    <w:p>
      <w:r>
        <w:drawing>
          <wp:inline xmlns:a="http://schemas.openxmlformats.org/drawingml/2006/main" xmlns:pic="http://schemas.openxmlformats.org/drawingml/2006/picture">
            <wp:extent cx="5486400" cy="3142488"/>
            <wp:docPr id="2" name="Picture 2" descr="Compare study-answer support rates when groups have different numbers of questions. Supplied facts: Group Birch has 6 supported answers in 8 cases; group Pine has 9 supported answers in 12 cases. Both groups use the same support rubric.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30-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Compare study-answer support rates when groups have different numbers of questions. Supplied facts: Group Birch has 6 supported answers in 8 cases; group Pine has 9 supported answers in 12 cases.</w:t>
      </w:r>
    </w:p>
    <w:p>
      <w:pPr>
        <w:spacing w:line="336" w:lineRule="auto" w:after="180"/>
      </w:pPr>
      <w:r>
        <w:rPr>
          <w:b w:val="0"/>
        </w:rPr>
        <w:t xml:space="preserve">Both groups use the same support rubric. 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493008"/>
            <wp:docPr id="3" name="Picture 3" descr="Keep denominators: Birch: 6/8. Pine: 9/12. → Compare rates: Both support rates are 75%; Pine has more correct answers because it has more cases. → Inspect errors: Check the two Birch and three Pine failures before deciding what revision each needs."/>
            <wp:cNvGraphicFramePr>
              <a:graphicFrameLocks noChangeAspect="1"/>
            </wp:cNvGraphicFramePr>
            <a:graphic>
              <a:graphicData uri="http://schemas.openxmlformats.org/drawingml/2006/picture">
                <pic:pic>
                  <pic:nvPicPr>
                    <pic:cNvPr id="0" name="academy-story-ai-3-30-02.png"/>
                    <pic:cNvPicPr/>
                  </pic:nvPicPr>
                  <pic:blipFill>
                    <a:blip r:embed="rId11"/>
                    <a:stretch>
                      <a:fillRect/>
                    </a:stretch>
                  </pic:blipFill>
                  <pic:spPr>
                    <a:xfrm>
                      <a:off x="0" y="0"/>
                      <a:ext cx="5486400" cy="3493008"/>
                    </a:xfrm>
                    <a:prstGeom prst="rect"/>
                  </pic:spPr>
                </pic:pic>
              </a:graphicData>
            </a:graphic>
          </wp:inline>
        </w:drawing>
      </w:r>
    </w:p>
    <w:p>
      <w:pPr>
        <w:spacing w:line="336" w:lineRule="auto" w:after="180"/>
      </w:pPr>
      <w:r>
        <w:rPr>
          <w:b w:val="0"/>
        </w:rPr>
        <w:t>Keep denominators: Birch: 6/8.</w:t>
      </w:r>
    </w:p>
    <w:p>
      <w:pPr>
        <w:spacing w:line="336" w:lineRule="auto" w:after="180"/>
      </w:pPr>
      <w:r>
        <w:rPr>
          <w:b w:val="0"/>
        </w:rPr>
        <w:t>Pine: 9/12. → Compare rates: Both support rates are 75%; Pine has more correct answers because it has more cases. → Inspect errors: Check the two Birch and three Pine failures before deciding what revision each needs.</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Representation and bias evaluation — evidence trace</w:t>
      </w:r>
    </w:p>
    <w:p>
      <w:r>
        <w:drawing>
          <wp:inline xmlns:a="http://schemas.openxmlformats.org/drawingml/2006/main" xmlns:pic="http://schemas.openxmlformats.org/drawingml/2006/picture">
            <wp:extent cx="5486400" cy="3297936"/>
            <wp:docPr id="4" name="Picture 4" descr="Representation and bias evaluation — evidence trace. A grounded assistant supports 9 of 10 group-A cases and 6 of 10 group-B cases. | Define the task, relevant groups, labels and denominators before comparing. Use fictional, non-identifying records. Evaluate quality and fallback outcomes separately; preserve sample sizes and unresolved explanations. | Rates 90% and 60%; gap 30 percentage points. Investigate case mix, retrieval coverage and annotation rules before attributing cause."/>
            <wp:cNvGraphicFramePr>
              <a:graphicFrameLocks noChangeAspect="1"/>
            </wp:cNvGraphicFramePr>
            <a:graphic>
              <a:graphicData uri="http://schemas.openxmlformats.org/drawingml/2006/picture">
                <pic:pic>
                  <pic:nvPicPr>
                    <pic:cNvPr id="0" name="academy-story-ai-3-30-03.png"/>
                    <pic:cNvPicPr/>
                  </pic:nvPicPr>
                  <pic:blipFill>
                    <a:blip r:embed="rId12"/>
                    <a:stretch>
                      <a:fillRect/>
                    </a:stretch>
                  </pic:blipFill>
                  <pic:spPr>
                    <a:xfrm>
                      <a:off x="0" y="0"/>
                      <a:ext cx="5486400" cy="3297936"/>
                    </a:xfrm>
                    <a:prstGeom prst="rect"/>
                  </pic:spPr>
                </pic:pic>
              </a:graphicData>
            </a:graphic>
          </wp:inline>
        </w:drawing>
      </w:r>
    </w:p>
    <w:p>
      <w:pPr>
        <w:spacing w:line="336" w:lineRule="auto" w:after="180"/>
      </w:pPr>
      <w:r>
        <w:rPr>
          <w:b/>
        </w:rPr>
        <w:t>Representation</w:t>
      </w:r>
      <w:r>
        <w:rPr>
          <w:b w:val="0"/>
        </w:rPr>
        <w:t xml:space="preserve"> and bias evaluation — </w:t>
      </w:r>
      <w:r>
        <w:rPr>
          <w:b/>
        </w:rPr>
        <w:t>evidence</w:t>
      </w:r>
      <w:r>
        <w:rPr>
          <w:b w:val="0"/>
        </w:rPr>
        <w:t xml:space="preserve"> trace. A grounded assistant supports 9 of 10 group-A cases and 6 of 10 group-B cases. | Define the task, relevant groups, labels and denominators before comparing.</w:t>
      </w:r>
    </w:p>
    <w:p>
      <w:pPr>
        <w:spacing w:line="336" w:lineRule="auto" w:after="180"/>
      </w:pPr>
      <w:r>
        <w:rPr>
          <w:b w:val="0"/>
        </w:rPr>
        <w:t xml:space="preserve">Use fictional, non-identifying records. Evaluate quality and fallback outcomes separately; preserve sample sizes and unresolved explanations. | Rates 90% and </w:t>
      </w:r>
      <w:r>
        <w:rPr>
          <w:b/>
        </w:rPr>
        <w:t>60%</w:t>
      </w:r>
      <w:r>
        <w:rPr>
          <w:b w:val="0"/>
        </w:rPr>
        <w:t>; gap 30 percentage points.</w:t>
      </w:r>
    </w:p>
    <w:p>
      <w:pPr>
        <w:spacing w:line="336" w:lineRule="auto" w:after="180"/>
      </w:pPr>
      <w:r>
        <w:rPr>
          <w:b w:val="0"/>
        </w:rPr>
        <w:t xml:space="preserve">Investigate </w:t>
      </w:r>
      <w:r>
        <w:rPr>
          <w:b/>
        </w:rPr>
        <w:t>case mix</w:t>
      </w:r>
      <w:r>
        <w:rPr>
          <w:b w:val="0"/>
        </w:rPr>
        <w:t>, retrieval coverage and annotation rules before attributing cause.</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5" name="Picture 5" descr="Original case: Check the two Birch and three Pine failures before deciding what revision each needs. Changed condition: Pine instead has 6 supported answers out of 12. Expected result: Pine is 50%, which is 25 percentage points below Birch. Reason: Equal correct counts do not imply equal rates when denominators differ."/>
            <wp:cNvGraphicFramePr>
              <a:graphicFrameLocks noChangeAspect="1"/>
            </wp:cNvGraphicFramePr>
            <a:graphic>
              <a:graphicData uri="http://schemas.openxmlformats.org/drawingml/2006/picture">
                <pic:pic>
                  <pic:nvPicPr>
                    <pic:cNvPr id="0" name="academy-story-ai-3-30-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Check the two Birch and three Pine failures before deciding what revision each needs. Changed condition: Pine instead has 6 supported answers out of 12.</w:t>
      </w:r>
    </w:p>
    <w:p>
      <w:pPr>
        <w:spacing w:line="336" w:lineRule="auto" w:after="180"/>
      </w:pPr>
      <w:r>
        <w:rPr>
          <w:b w:val="0"/>
        </w:rPr>
        <w:t>Expected result: Pine is 50%, which is 25 percentage points below Birch. Reason: Equal correct counts do not imply equal rates when denominators differ.</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Read the picture in order. Check the two Birch and three Pine failures before deciding what revision each needs. The arrows show which recorded input or intermediate result each decision uses. Explain the deciding step aloud before checking the changed case; pointing to the final answer alone does not show how it follows. Limit: These groups are fictional; small samples and unmatched question difficulty limit conclusions about fairness."/>
            <wp:cNvGraphicFramePr>
              <a:graphicFrameLocks noChangeAspect="1"/>
            </wp:cNvGraphicFramePr>
            <a:graphic>
              <a:graphicData uri="http://schemas.openxmlformats.org/drawingml/2006/picture">
                <pic:pic>
                  <pic:nvPicPr>
                    <pic:cNvPr id="0" name="academy-story-ai-3-30-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Check the two Birch and three Pine failures before deciding what revision each needs.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These groups are fictional; small samples and unmatched question difficulty limit conclusions about fairness.</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7" name="Picture 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Explain why comparing six correct answers in each group would mislead.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30-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Explain why comparing six correct answers in each group would mislead.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Bias and Representation: the case</w:t>
      </w:r>
    </w:p>
    <w:p>
      <w:pPr>
        <w:pStyle w:val="Heading3"/>
      </w:pPr>
      <w:r>
        <w:t>02. Follow the deciding steps</w:t>
      </w:r>
    </w:p>
    <w:p>
      <w:pPr>
        <w:pStyle w:val="Heading3"/>
      </w:pPr>
      <w:r>
        <w:t>03. Representation and bias evaluation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