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ai-4/27</w:t>
      </w:r>
    </w:p>
    <w:p>
      <w:pPr>
        <w:pStyle w:val="Title"/>
      </w:pPr>
      <w:r>
        <w:t>Overfitting</w:t>
      </w:r>
    </w:p>
    <w:p>
      <w:r>
        <w:t>Project: Responsible Plant Classifier</w:t>
      </w:r>
    </w:p>
    <w:p>
      <w:pPr>
        <w:pStyle w:val="Heading1"/>
      </w:pPr>
      <w:r>
        <w:t>One readable capacity-comparison record.</w:t>
      </w:r>
    </w:p>
    <w:p>
      <w:r>
        <w:t>Trace training leaves,validation predictions and the limits of gap-based diagnosis.</w:t>
      </w:r>
    </w:p>
    <w:p>
      <w:r>
        <w:t>W1–W3/W5 → selected new accuracy task → project capacity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Reproducible Experiments</w:t>
      </w:r>
    </w:p>
    <w:p>
      <w:pPr>
        <w:pStyle w:val="ListBullet"/>
      </w:pPr>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pPr>
        <w:pStyle w:val="ListBullet"/>
      </w:pPr>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pPr>
        <w:pStyle w:val="ListBullet"/>
      </w:pPr>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supplied MAEs:constanttrain 5/validation 6, line 2/3, flexiblecurve 0/8; choose line by smallest validation MAE. Picture Small85%/80%gap 5 points, Large100%/60%gap 40; revisedLargevalidation82%givesgap 18 and highest pictured validation. Separate paper-tree trainingT1(0, 0 clear), T2(0, 1 clear), T3(1, 0 blocked), T4(1, 1 clear); validationV1/V2 clear, V3(1, 0 clear), V4(1, 1 blocked). Near-first/tall-second, clearleaf ties:depth 0/1 train3/4 valid3/4; depth 2 train4/4 valid2/4. Selectdepth0by declared shallower tie. Gap alone does not prove cause.</w:t>
      </w:r>
    </w:p>
    <w:p>
      <w:pPr>
        <w:pStyle w:val="ListBullet"/>
      </w:pPr>
      <w:r>
        <w:t>Reference for this exercise: open this week’s student lesson, “Overfitting”, at “See how it works” and “Follow a worked example”. Use the original worked values or code named in the question; the later pictorial case is a separate example. Keep this reference beside your workbook while practising.</w:t>
      </w:r>
    </w:p>
    <w:p>
      <w:pPr>
        <w:pStyle w:val="ListBullet"/>
      </w:pPr>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supplied MAEs:constanttrain 5/validation 6, line 2/3, flexiblecurve 0/8; choose line by smallest validation MAE. Picture Small85%/80%gap 5 points, Large100%/60%gap 40; revisedLargevalidation82%givesgap 18 and highest pictured validation. Separate paper-tree trainingT1(0, 0 clear), T2(0, 1 clear), T3(1, 0 blocked), T4(1, 1 clear); validationV1/V2 clear, V3(1, 0 clear), V4(1, 1 blocked). Near-first/tall-second, clearleaf ties:depth 0/1 train3/4 valid3/4; depth 2 train4/4 valid2/4. Selectdepth0by declared shallower tie. Gap alone does not prove cause.</w:t>
      </w:r>
    </w:p>
    <w:p>
      <w:pPr>
        <w:pStyle w:val="ListBullet"/>
      </w:pPr>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supplied MAEs:constanttrain 5/validation 6, line 2/3, flexiblecurve 0/8; choose line by smallest validation MAE. Picture Small85%/80%gap 5 points, Large100%/60%gap 40; revisedLargevalidation82%givesgap 18 and highest pictured validation. Separate paper-tree trainingT1(0, 0 clear), T2(0, 1 clear), T3(1, 0 blocked), T4(1, 1 clear); validationV1/V2 clear, V3(1, 0 clear), V4(1, 1 blocked). Near-first/tall-second, clearleaf ties:depth 0/1 train3/4 valid3/4; depth 2 train4/4 valid2/4. Selectdepth0by declared shallower tie. Gap alone does not prove cause.</w:t>
      </w:r>
    </w:p>
    <w:p>
      <w:pPr>
        <w:pStyle w:val="ListBullet"/>
      </w:pPr>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supplied MAEs:constanttrain 5/validation 6, line 2/3, flexiblecurve 0/8; choose line by smallest validation MAE. Picture Small85%/80%gap 5 points, Large100%/60%gap 40; revisedLargevalidation82%givesgap 18 and highest pictured validation. Separate paper-tree trainingT1(0, 0 clear), T2(0, 1 clear), T3(1, 0 blocked), T4(1, 1 clear); validationV1/V2 clear, V3(1, 0 clear), V4(1, 1 blocked). Near-first/tall-second, clearleaf ties:depth 0/1 train3/4 valid3/4; depth 2 train4/4 valid2/4. Selectdepth0by declared shallower tie. Gap alone does not prove cause.</w:t>
      </w:r>
    </w:p>
    <w:p>
      <w:pPr>
        <w:pStyle w:val="ListBullet"/>
      </w:pPr>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Use the selected A:training 96%, validation 62%; B:training 88%, validation 79%, on the stated same valid evaluation conditions. Compute training-minus-validation accuracy gaps in percentage points, then choose by validation accuracy. Do not substitute the pictured 85/80or100/60 results or the paper-tree denominators. No causal diagnosis or untouched final result follows from this aggregate comparison alone.</w:t>
      </w:r>
    </w:p>
    <w:p>
      <w:pPr>
        <w:pStyle w:val="Heading3"/>
      </w:pPr>
      <w:r>
        <w:t>Independent case: Changed independent case</w:t>
      </w:r>
    </w:p>
    <w:p>
      <w:pPr>
        <w:pStyle w:val="ListBullet"/>
      </w:pPr>
      <w:r>
        <w:t>Model A training96%, validation62%; model B training88%,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Check Plant Classifier train-validation gaps and limit complexity before final test release.</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 has training 98%, validation 58%; B has training 86%, validation 81%. Compute gaps and select a candidate with a qualification.</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scores100% train,60% validation; B scores85%,80% on the same sets.</w:t>
      </w:r>
    </w:p>
    <w:p>
      <w:pPr>
        <w:pStyle w:val="ListBullet"/>
      </w:pPr>
      <w:r>
        <w:t>Compute gaps and select by validation accuracy.</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Model A has training accuracy 99% and validation accuracy 70%; B has 88% and 84%. Compute each gap and discuss the evidence.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 has training 98%, validation 58%; B has training 86%, validation 81%. Compute gaps and select a candidate with a qualification.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See overfitting as a gap requiring investigation, not a label based only on model size.</w:t>
      </w:r>
    </w:p>
    <w:p>
      <w:pPr>
        <w:pStyle w:val="ListBullet"/>
      </w:pPr>
      <w:r>
        <w:t>Toy model Small: training 85%, validation 80%. Large: training 100%, validation 60%. Same split and scoring rule.</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pStyle w:val="ListBullet"/>
      </w:pPr>
      <w:r>
        <w:t>Does100% training accuracy prove Large was always best?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Prepare the demonstration. Gather reproducible instructions, evidence, access checks and remaining limitations.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See overfitting as a gap requiring investigation, not a label based only on model size.</w:t>
      </w:r>
    </w:p>
    <w:p>
      <w:pPr>
        <w:pStyle w:val="Heading3"/>
      </w:pPr>
      <w:r>
        <w:t>Practice 1: explain the deciding evidence</w:t>
      </w:r>
    </w:p>
    <w:p>
      <w:pPr>
        <w:pStyle w:val="ListBullet"/>
      </w:pPr>
      <w:r>
        <w:t>Which labelled step matches this detail? Check capacity, training choices and data mismatch without tuning on final cases.</w:t>
      </w:r>
    </w:p>
    <w:p>
      <w:pPr>
        <w:pStyle w:val="ListBullet"/>
      </w:pPr>
      <w:r>
        <w:t>1. Select development candidate</w:t>
      </w:r>
    </w:p>
    <w:p>
      <w:pPr>
        <w:pStyle w:val="ListBullet"/>
      </w:pPr>
      <w:r>
        <w:t>2. Compute gaps</w:t>
      </w:r>
    </w:p>
    <w:p>
      <w:pPr>
        <w:pStyle w:val="ListBullet"/>
      </w:pPr>
      <w: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Investigate large model Check </w:t>
      </w:r>
      <w:r>
        <w:rPr>
          <w:b/>
        </w:rPr>
        <w:t>capacity</w:t>
      </w:r>
      <w:r>
        <w:rPr>
          <w:b w:val="0"/>
        </w:rPr>
        <w:t xml:space="preserve">, </w:t>
      </w:r>
      <w:r>
        <w:rPr>
          <w:b/>
        </w:rPr>
        <w:t>training</w:t>
      </w:r>
      <w:r>
        <w:rPr>
          <w:b w:val="0"/>
        </w:rPr>
        <w:t xml:space="preserve"> choices and data mismatch without tuning on final cases. Read the picture in order.</w:t>
      </w:r>
    </w:p>
    <w:p>
      <w:pPr>
        <w:spacing w:line="336" w:lineRule="auto" w:after="180"/>
      </w:pPr>
      <w:r>
        <w:rPr>
          <w:b w:val="0"/>
        </w:rPr>
        <w:t xml:space="preserve">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Large’s validation accuracy rises to82% after a development revision.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Its gap is 18 percentage points; it now beats Small on this validation set.</w:t>
      </w:r>
    </w:p>
    <w:p>
      <w:pPr>
        <w:spacing w:line="336" w:lineRule="auto" w:after="180"/>
      </w:pPr>
      <w:r>
        <w:rPr>
          <w:b w:val="0"/>
        </w:rPr>
        <w:t xml:space="preserve">Validation performance improved, but the </w:t>
      </w:r>
      <w:r>
        <w:rPr>
          <w:b/>
        </w:rPr>
        <w:t>training</w:t>
      </w:r>
      <w:r>
        <w:rPr>
          <w:b w:val="0"/>
        </w:rPr>
        <w:t>-validation gap is not a complete release rule.</w:t>
      </w:r>
    </w:p>
    <w:p>
      <w:pPr>
        <w:pStyle w:val="Heading2"/>
      </w:pPr>
      <w:r>
        <w:t>Repair and keep the record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Overfitting: the case</w:t>
      </w:r>
    </w:p>
    <w:p>
      <w:r>
        <w:drawing>
          <wp:inline xmlns:a="http://schemas.openxmlformats.org/drawingml/2006/main" xmlns:pic="http://schemas.openxmlformats.org/drawingml/2006/picture">
            <wp:extent cx="5486400" cy="2990088"/>
            <wp:docPr id="3" name="Picture 3"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Training and validation accuracy</w:t>
      </w:r>
    </w:p>
    <w:p>
      <w:r>
        <w:drawing>
          <wp:inline xmlns:a="http://schemas.openxmlformats.org/drawingml/2006/main" xmlns:pic="http://schemas.openxmlformats.org/drawingml/2006/picture">
            <wp:extent cx="5486400" cy="3584448"/>
            <wp:docPr id="5" name="Picture 5"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Overfitting: the case</w:t>
      </w:r>
    </w:p>
    <w:p>
      <w:pPr>
        <w:pStyle w:val="Heading3"/>
      </w:pPr>
      <w:r>
        <w:t>02. Follow the deciding steps</w:t>
      </w:r>
    </w:p>
    <w:p>
      <w:pPr>
        <w:pStyle w:val="Heading3"/>
      </w:pPr>
      <w:r>
        <w:t>03. Training and validation accuracy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