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ai-4/31</w:t>
      </w:r>
    </w:p>
    <w:p>
      <w:pPr>
        <w:pStyle w:val="Title"/>
      </w:pPr>
      <w:r>
        <w:t>Subgroup Performance</w:t>
      </w:r>
    </w:p>
    <w:p>
      <w:r>
        <w:t>Project: Responsible Plant Classifier</w:t>
      </w:r>
    </w:p>
    <w:p>
      <w:pPr>
        <w:pStyle w:val="Heading1"/>
      </w:pPr>
      <w:r>
        <w:t>One readable subgroup-evidence record.</w:t>
      </w:r>
    </w:p>
    <w:p>
      <w:r>
        <w:t>Compute separate rates,weighted totals and missing-evidence limits.</w:t>
      </w:r>
    </w:p>
    <w:p>
      <w:r>
        <w:t>W1–W3/W5 → selected X/Ytask → project slice record →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Improve Generalization</w:t>
      </w:r>
    </w:p>
    <w:p>
      <w:pPr>
        <w:pStyle w:val="ListBullet"/>
      </w:pPr>
      <w:r>
        <w:t>Without opening the old lesson, explain one key idea from Improve Generalization.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Curves</w:t>
      </w:r>
    </w:p>
    <w:p>
      <w:pPr>
        <w:pStyle w:val="ListBullet"/>
      </w:pPr>
      <w:r>
        <w:t>Without opening the old lesson, explain one key idea from Learning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Metrics Match Consequences</w:t>
      </w:r>
    </w:p>
    <w:p>
      <w:pPr>
        <w:pStyle w:val="ListBullet"/>
      </w:pPr>
      <w:r>
        <w:t>Without opening the old lesson, explain one key idea from Metrics Match Consequences.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Main A2/20 errors=10%, B3/5=60%, pooled 5/25=20%, gap 50 percentage points. One changed originalBerror yields 2/5=40%. PictureSun/Shadearithmeticmatches; adding 5 error-freeShadecases yields 3/10 and5/30 pooled, not a model repair. Complete synthetic 25-case audit uses lightingbright/dim, typeAlpha/Beta, cameraA/B/C; spottedpositive. Error countsbright 0/10, dim 5/15, Alpha2/10, Beta3/15, A2/20, B3/5, Cunobserved. Recallbright5/5, dim 6/8, Alpha5/5, Beta6/8, A10/10, B1/3, Cunavailable; pooled 11/13. Do not sum overlapping field totals.</w:t>
      </w:r>
    </w:p>
    <w:p>
      <w:pPr>
        <w:pStyle w:val="ListBullet"/>
      </w:pPr>
      <w:r>
        <w:t>Reference for this exercise: open this week’s student lesson, “Subgroup Performance”, at “See how it works” and “Follow a worked example”. Use the original worked values or code named in the question; the later pictorial case is a separate example. Keep this reference beside your workbook while practising.</w:t>
      </w:r>
    </w:p>
    <w:p>
      <w:pPr>
        <w:pStyle w:val="ListBullet"/>
      </w:pPr>
      <w:r>
        <w:t>Calculate the worked group and pooled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Main A2/20 errors=10%, B3/5=60%, pooled 5/25=20%, gap 50 percentage points. One changed originalBerror yields 2/5=40%. PictureSun/Shadearithmeticmatches; adding 5 error-freeShadecases yields 3/10 and5/30 pooled, not a model repair. Complete synthetic 25-case audit uses lightingbright/dim, typeAlpha/Beta, cameraA/B/C; spottedpositive. Error countsbright 0/10, dim 5/15, Alpha2/10, Beta3/15, A2/20, B3/5, Cunobserved. Recallbright5/5, dim 6/8, Alpha5/5, Beta6/8, A10/10, B1/3, Cunavailable; pooled 11/13. Do not sum overlapping field totals.</w:t>
      </w:r>
    </w:p>
    <w:p>
      <w:pPr>
        <w:pStyle w:val="ListBullet"/>
      </w:pPr>
      <w:r>
        <w:t>How does correcting one B error affect its 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Main A2/20 errors=10%, B3/5=60%, pooled 5/25=20%, gap 50 percentage points. One changed originalBerror yields 2/5=40%. PictureSun/Shadearithmeticmatches; adding 5 error-freeShadecases yields 3/10 and5/30 pooled, not a model repair. Complete synthetic 25-case audit uses lightingbright/dim, typeAlpha/Beta, cameraA/B/C; spottedpositive. Error countsbright 0/10, dim 5/15, Alpha2/10, Beta3/15, A2/20, B3/5, Cunobserved. Recallbright5/5, dim 6/8, Alpha5/5, Beta6/8, A10/10, B1/3, Cunavailable; pooled 11/13. Do not sum overlapping field totals.</w:t>
      </w:r>
    </w:p>
    <w:p>
      <w:pPr>
        <w:pStyle w:val="ListBullet"/>
      </w:pPr>
      <w:r>
        <w:t>Group C has no evaluated cases. What is its measured error 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Main A2/20 errors=10%, B3/5=60%, pooled 5/25=20%, gap 50 percentage points. One changed originalBerror yields 2/5=40%. PictureSun/Shadearithmeticmatches; adding 5 error-freeShadecases yields 3/10 and5/30 pooled, not a model repair. Complete synthetic 25-case audit uses lightingbright/dim, typeAlpha/Beta, cameraA/B/C; spottedpositive. Error countsbright 0/10, dim 5/15, Alpha2/10, Beta3/15, A2/20, B3/5, Cunobserved. Recallbright5/5, dim 6/8, Alpha5/5, Beta6/8, A10/10, B1/3, Cunavailable; pooled 11/13. Do not sum overlapping field totals.</w:t>
      </w:r>
    </w:p>
    <w:p>
      <w:pPr>
        <w:pStyle w:val="ListBullet"/>
      </w:pPr>
      <w:r>
        <w:t>Why does equal accuracy not settle whether use is fair?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Treat the selected X/Ygroups as the supplied disjoint 14-case comparison with the same error definition. Do not use the main 25-case camera table or invent a causal group difference. Report each count, pooled denominator and the four-case Ysample limitation. No per-class labels are given, so recall is not computable from these aggregate error counts alone.</w:t>
      </w:r>
    </w:p>
    <w:p>
      <w:pPr>
        <w:pStyle w:val="Heading3"/>
      </w:pPr>
      <w:r>
        <w:t>Independent case: Apply independently</w:t>
      </w:r>
    </w:p>
    <w:p>
      <w:pPr>
        <w:pStyle w:val="ListBullet"/>
      </w:pPr>
      <w:r>
        <w:t>Groups X 1 error/10 and Y 2/4: calculate separate and pooled rates, then state one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Add subgroup tables and a minimum acceptable threshold to the Plant Classifier release criteria.</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Check sensitivity for Subgroup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Subgroup evaluation.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Device A gets 18/20 correct; B gets 6/10. Compute overall accuracy and the subgroup gap. What causal claim is not supported?</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A has18/20 correct; B has6/10.</w:t>
      </w:r>
    </w:p>
    <w:p>
      <w:pPr>
        <w:pStyle w:val="ListBullet"/>
      </w:pPr>
      <w:r>
        <w:t>Compute subgroup results and evidence limits.</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Accuracy is 18/20 in bright light and 6/10 in dim light. Compute both rates and the percentage-point gap.</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31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Device A gets 18/20 correct; B gets 6/10. Compute overall accuracy and the subgroup gap. What causal claim is not supported?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Groups X 1 error/10 and Y 2/4: calculate separate and pooled rates, then state one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Calculate subgroup and pooled error rates without letting the larger group hide a gap.</w:t>
      </w:r>
    </w:p>
    <w:p>
      <w:pPr>
        <w:pStyle w:val="ListBullet"/>
      </w:pPr>
      <w:r>
        <w:t>Group Sun: 2 errors in20 photos; Shade: 3 errors in5. Same error definition; related plant views are documented.</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Subgroup error rates"/>
            <wp:cNvGraphicFramePr>
              <a:graphicFrameLocks noChangeAspect="1"/>
            </wp:cNvGraphicFramePr>
            <a:graphic>
              <a:graphicData uri="http://schemas.openxmlformats.org/drawingml/2006/picture">
                <pic:pic>
                  <pic:nvPicPr>
                    <pic:cNvPr id="0" name="academy-detail-ai-4-31.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Subgroup Performance. Sun rate: Sun error=2/20=10%.. Shade rate: Shade error=3/5=60%.. Pooled rate: Total error=5/25=20%, which hides the 50-percentage-point subgroup difference."/>
            <wp:cNvGraphicFramePr>
              <a:graphicFrameLocks noChangeAspect="1"/>
            </wp:cNvGraphicFramePr>
            <a:graphic>
              <a:graphicData uri="http://schemas.openxmlformats.org/drawingml/2006/picture">
                <pic:pic>
                  <pic:nvPicPr>
                    <pic:cNvPr id="0" name="academy-visual-ai-4-31.png"/>
                    <pic:cNvPicPr/>
                  </pic:nvPicPr>
                  <pic:blipFill>
                    <a:blip r:embed="rId10"/>
                    <a:stretch>
                      <a:fillRect/>
                    </a:stretch>
                  </pic:blipFill>
                  <pic:spPr>
                    <a:xfrm>
                      <a:off x="0" y="0"/>
                      <a:ext cx="5486400" cy="5185229"/>
                    </a:xfrm>
                    <a:prstGeom prst="rect"/>
                  </pic:spPr>
                </pic:pic>
              </a:graphicData>
            </a:graphic>
          </wp:inline>
        </w:drawing>
      </w:r>
    </w:p>
    <w:p>
      <w:pPr>
        <w:pStyle w:val="ListBullet"/>
      </w:pPr>
      <w:r>
        <w:t>Why should the report retain subgroup rates alongside the total?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Present and defend. Demonstrate the system, explain one failure and justify the next improvement with evidence.</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Calculate subgroup and pooled error rates without letting the larger group hide a gap.</w:t>
      </w:r>
    </w:p>
    <w:p>
      <w:pPr>
        <w:pStyle w:val="Heading3"/>
      </w:pPr>
      <w:r>
        <w:t>Practice 1: explain the deciding evidence</w:t>
      </w:r>
    </w:p>
    <w:p>
      <w:pPr>
        <w:pStyle w:val="ListBullet"/>
      </w:pPr>
      <w:r>
        <w:t>Which labelled step matches this detail? Total error=5/25=20%, which hides the 50-percentage-point subgroup difference.</w:t>
      </w:r>
    </w:p>
    <w:p>
      <w:pPr>
        <w:pStyle w:val="ListBullet"/>
      </w:pPr>
      <w:r>
        <w:t>1. Pooled rate</w:t>
      </w:r>
    </w:p>
    <w:p>
      <w:pPr>
        <w:pStyle w:val="ListBullet"/>
      </w:pPr>
      <w:r>
        <w:t>2. Sun rate</w:t>
      </w:r>
    </w:p>
    <w:p>
      <w:pPr>
        <w:pStyle w:val="ListBullet"/>
      </w:pPr>
      <w:r>
        <w:t>3. Shade 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Pooled rate Total error=5/25=20%, which hides the 50-percentage-point </w:t>
      </w:r>
      <w:r>
        <w:rPr>
          <w:b/>
        </w:rPr>
        <w:t>subgroup</w:t>
      </w:r>
      <w:r>
        <w:rPr>
          <w:b w:val="0"/>
        </w:rPr>
        <w:t xml:space="preserve"> difference. Read the picture in order.</w:t>
      </w:r>
    </w:p>
    <w:p>
      <w:pPr>
        <w:spacing w:line="336" w:lineRule="auto" w:after="180"/>
      </w:pPr>
      <w:r>
        <w:rPr>
          <w:b w:val="0"/>
        </w:rPr>
        <w:t xml:space="preserve">Total error=5/25=20%, which hides the 50-percentage-point </w:t>
      </w:r>
      <w:r>
        <w:rPr>
          <w:b/>
        </w:rPr>
        <w:t>subgroup</w:t>
      </w:r>
      <w:r>
        <w:rPr>
          <w:b w:val="0"/>
        </w:rPr>
        <w:t xml:space="preserve"> difference.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Shade gains5 new cases with no errors. Which conclusion is supported by the supplied facts?</w:t>
      </w:r>
    </w:p>
    <w:p>
      <w:pPr>
        <w:pStyle w:val="ListBullet"/>
      </w:pPr>
      <w:r>
        <w:t>1. We can decide the result without examining the changed input or the procedure.</w:t>
      </w:r>
    </w:p>
    <w:p>
      <w:pPr>
        <w:pStyle w:val="ListBullet"/>
      </w:pPr>
      <w:r>
        <w:t>2. Shade error becomes3/10=30%; pooled error becomes5/30≈16.7%.</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Shade error becomes3/10=30%; pooled error becomes5/30≈16.7%. Extra evaluated cases change </w:t>
      </w:r>
      <w:r>
        <w:rPr>
          <w:b/>
        </w:rPr>
        <w:t>denominator</w:t>
      </w:r>
      <w:r>
        <w:rPr>
          <w:b w:val="0"/>
        </w:rPr>
        <w:t>s; existing errors have not disappeared.</w:t>
      </w:r>
    </w:p>
    <w:p>
      <w:pPr>
        <w:pStyle w:val="Heading2"/>
      </w:pPr>
      <w:r>
        <w:t>Repair and keep the record</w:t>
      </w:r>
    </w:p>
    <w:p>
      <w:pPr>
        <w:spacing w:line="336" w:lineRule="auto" w:after="180"/>
      </w:pPr>
      <w:r>
        <w:rPr>
          <w:b w:val="0"/>
        </w:rPr>
        <w:t xml:space="preserve">Review Improve Generalization (ai-4/30). Goal: Plan one </w:t>
      </w:r>
      <w:r>
        <w:rPr>
          <w:b/>
        </w:rPr>
        <w:t>evidence</w:t>
      </w:r>
      <w:r>
        <w:rPr>
          <w:b w:val="0"/>
        </w:rPr>
        <w:t xml:space="preserve">-led change and test it on source-separated validation cases. Short practice: What fresh </w:t>
      </w:r>
      <w:r>
        <w:rPr>
          <w:b/>
        </w:rPr>
        <w:t>evidence</w:t>
      </w:r>
      <w:r>
        <w:rPr>
          <w:b w:val="0"/>
        </w:rPr>
        <w:t xml:space="preserve"> is needed after adding crossed </w:t>
      </w:r>
      <w:r>
        <w:rPr>
          <w:b/>
        </w:rPr>
        <w:t>training</w:t>
      </w:r>
      <w:r>
        <w:rPr>
          <w:b w:val="0"/>
        </w:rPr>
        <w:t xml:space="preserve"> data? 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Learning Curves (ai-4/28). Goal: Read </w:t>
      </w:r>
      <w:r>
        <w:rPr>
          <w:b/>
        </w:rPr>
        <w:t>training</w:t>
      </w:r>
      <w:r>
        <w:rPr>
          <w:b w:val="0"/>
        </w:rPr>
        <w:t>-size learning curves. Short practice: What comparison is valid if the validation set changes between sizes?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Metrics Match Consequences (ai-4/25). Goal: Apply a declared score threshold including equality. Short practice: Which labels determine the false-alarm count at threshold 0.4?</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Subgroup Performance: the case</w:t>
      </w:r>
    </w:p>
    <w:p>
      <w:r>
        <w:drawing>
          <wp:inline xmlns:a="http://schemas.openxmlformats.org/drawingml/2006/main" xmlns:pic="http://schemas.openxmlformats.org/drawingml/2006/picture">
            <wp:extent cx="5486400" cy="2990088"/>
            <wp:docPr id="3" name="Picture 3" descr="Calculate subgroup and pooled error rates without letting the larger group hide a gap. Supplied facts: Group Sun: 2 errors in20 photos; Shade: 3 errors in5. Same error definition; related plant views are documen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1-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Calculate </w:t>
      </w:r>
      <w:r>
        <w:rPr>
          <w:b/>
        </w:rPr>
        <w:t>subgroup</w:t>
      </w:r>
      <w:r>
        <w:rPr>
          <w:b w:val="0"/>
        </w:rPr>
        <w:t xml:space="preserve"> and pooled error rates without letting the larger group hide a gap. Supplied facts: Group Sun: 2 errors in20 photos; Shade: 3 errors in5. Same error definition; related plant views are documented.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4" name="Picture 4" descr="Sun rate: Sun error=2/20=10%. → Shade rate: Shade error=3/5=60%. → Pooled rate: Total error=5/25=20%, which hides the 50-percentage-point subgroup difference."/>
            <wp:cNvGraphicFramePr>
              <a:graphicFrameLocks noChangeAspect="1"/>
            </wp:cNvGraphicFramePr>
            <a:graphic>
              <a:graphicData uri="http://schemas.openxmlformats.org/drawingml/2006/picture">
                <pic:pic>
                  <pic:nvPicPr>
                    <pic:cNvPr id="0" name="academy-story-ai-4-31-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Sun rate: Sun error=2/20=10%. → Shade rate: Shade error=3/5=</w:t>
      </w:r>
      <w:r>
        <w:rPr>
          <w:b/>
        </w:rPr>
        <w:t>60%</w:t>
      </w:r>
      <w:r>
        <w:rPr>
          <w:b w:val="0"/>
        </w:rPr>
        <w:t xml:space="preserve">. → Pooled rate: Total error=5/25=20%, which hides the 50-percentage-point </w:t>
      </w:r>
      <w:r>
        <w:rPr>
          <w:b/>
        </w:rPr>
        <w:t>subgroup</w:t>
      </w:r>
      <w:r>
        <w:rPr>
          <w:b w:val="0"/>
        </w:rPr>
        <w:t xml:space="preserve"> difference.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Subgroup error rates</w:t>
      </w:r>
    </w:p>
    <w:p>
      <w:r>
        <w:drawing>
          <wp:inline xmlns:a="http://schemas.openxmlformats.org/drawingml/2006/main" xmlns:pic="http://schemas.openxmlformats.org/drawingml/2006/picture">
            <wp:extent cx="5486400" cy="3145536"/>
            <wp:docPr id="5" name="Picture 5" descr="Subgroup error rates. Units: percent. Sun (n20): 10. Shade (n5): 60. pooled (n25): 20."/>
            <wp:cNvGraphicFramePr>
              <a:graphicFrameLocks noChangeAspect="1"/>
            </wp:cNvGraphicFramePr>
            <a:graphic>
              <a:graphicData uri="http://schemas.openxmlformats.org/drawingml/2006/picture">
                <pic:pic>
                  <pic:nvPicPr>
                    <pic:cNvPr id="0" name="academy-story-ai-4-31-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rPr>
        <w:t>Subgroup</w:t>
      </w:r>
      <w:r>
        <w:rPr>
          <w:b w:val="0"/>
        </w:rPr>
        <w:t xml:space="preserve"> error rates. Units: percent. Sun (n20): 10. Shade (n5): 60. pooled (n25): 20.</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Total error=5/25=20%, which hides the 50-percentage-point subgroup difference. Changed condition: Shade gains5 new cases with no errors. Expected result: Shade error becomes3/10=30%; pooled error becomes5/30≈16.7%. Reason: Extra evaluated cases change denominators; existing errors have not disappeared."/>
            <wp:cNvGraphicFramePr>
              <a:graphicFrameLocks noChangeAspect="1"/>
            </wp:cNvGraphicFramePr>
            <a:graphic>
              <a:graphicData uri="http://schemas.openxmlformats.org/drawingml/2006/picture">
                <pic:pic>
                  <pic:nvPicPr>
                    <pic:cNvPr id="0" name="academy-story-ai-4-3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Total error=5/25=20%, which hides the 50-percentage-point </w:t>
      </w:r>
      <w:r>
        <w:rPr>
          <w:b/>
        </w:rPr>
        <w:t>subgroup</w:t>
      </w:r>
      <w:r>
        <w:rPr>
          <w:b w:val="0"/>
        </w:rPr>
        <w:t xml:space="preserve"> difference. Changed condition: Shade gains5 new cases with no errors.</w:t>
      </w:r>
    </w:p>
    <w:p>
      <w:pPr>
        <w:spacing w:line="336" w:lineRule="auto" w:after="180"/>
      </w:pPr>
      <w:r>
        <w:rPr>
          <w:b w:val="0"/>
        </w:rPr>
        <w:t xml:space="preserve">Expected result: Shade error becomes3/10=30%; pooled error becomes5/30≈16.7%. Reason: Extra evaluated cases change </w:t>
      </w:r>
      <w:r>
        <w:rPr>
          <w:b/>
        </w:rPr>
        <w:t>denominator</w:t>
      </w:r>
      <w:r>
        <w:rPr>
          <w:b w:val="0"/>
        </w:rPr>
        <w:t>s; existing errors have not disappeared.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Total error=5/25=20%, which hides the 50-percentage-point subgroup difference. The arrows show which recorded input or intermediate result each decision uses. Explain the deciding step aloud before checking the changed case; pointing to the final answer alone does not show how it follows. Limit: Small subgroup samples have high variability. An observed gap does not by itself establish discrimination or a causal explanation."/>
            <wp:cNvGraphicFramePr>
              <a:graphicFrameLocks noChangeAspect="1"/>
            </wp:cNvGraphicFramePr>
            <a:graphic>
              <a:graphicData uri="http://schemas.openxmlformats.org/drawingml/2006/picture">
                <pic:pic>
                  <pic:nvPicPr>
                    <pic:cNvPr id="0" name="academy-story-ai-4-3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Total error=5/25=20%, which hides the 50-percentage-point </w:t>
      </w:r>
      <w:r>
        <w:rPr>
          <w:b/>
        </w:rPr>
        <w:t>subgroup</w:t>
      </w:r>
      <w:r>
        <w:rPr>
          <w:b w:val="0"/>
        </w:rPr>
        <w:t xml:space="preserve"> difference.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Small </w:t>
      </w:r>
      <w:r>
        <w:rPr>
          <w:b/>
        </w:rPr>
        <w:t>subgroup</w:t>
      </w:r>
      <w:r>
        <w:rPr>
          <w:b w:val="0"/>
        </w:rPr>
        <w:t xml:space="preserve"> samples have high variability.</w:t>
      </w:r>
    </w:p>
    <w:p>
      <w:pPr>
        <w:spacing w:line="336" w:lineRule="auto" w:after="180"/>
      </w:pPr>
      <w:r>
        <w:rPr>
          <w:b w:val="0"/>
        </w:rPr>
        <w:t>An observed gap does not by itself establish discrimination or a causal explanation.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should the report retain subgroup rates alongside the tota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report retain </w:t>
      </w:r>
      <w:r>
        <w:rPr>
          <w:b/>
        </w:rPr>
        <w:t>subgroup</w:t>
      </w:r>
      <w:r>
        <w:rPr>
          <w:b w:val="0"/>
        </w:rPr>
        <w:t xml:space="preserve"> rates alongside the total?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Subgroup Performance: the case</w:t>
      </w:r>
    </w:p>
    <w:p>
      <w:pPr>
        <w:pStyle w:val="Heading3"/>
      </w:pPr>
      <w:r>
        <w:t>02. Follow the deciding steps</w:t>
      </w:r>
    </w:p>
    <w:p>
      <w:pPr>
        <w:pStyle w:val="Heading3"/>
      </w:pPr>
      <w:r>
        <w:t>03. Subgroup error rates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