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ai-5/30</w:t>
      </w:r>
    </w:p>
    <w:p>
      <w:pPr>
        <w:pStyle w:val="Title"/>
      </w:pPr>
      <w:r>
        <w:t>Dataset shift in neural models</w:t>
      </w:r>
    </w:p>
    <w:p>
      <w:r>
        <w:t>Project: Image-pattern Network Investigation</w:t>
      </w:r>
    </w:p>
    <w:p>
      <w:pPr>
        <w:pStyle w:val="Heading1"/>
      </w:pPr>
      <w:r>
        <w:t>One readable shift investigation record.</w:t>
      </w:r>
    </w:p>
    <w:p>
      <w:r>
        <w:t>Retain group definitions, counts, model versions, missing labels and evaluation boundaries.</w:t>
      </w:r>
    </w:p>
    <w:p>
      <w:r>
        <w:t>Recall → W1–W3/W5 → independent mixture → project monitoring record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Uncertainty and failure analysis</w:t>
      </w:r>
    </w:p>
    <w:p>
      <w:pPr>
        <w:pStyle w:val="ListBullet"/>
      </w:pPr>
      <w:r>
        <w:t>Without opening the old lesson, explain one key idea from Uncertainty and failure analysis.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Similarity and normalisation</w:t>
      </w:r>
    </w:p>
    <w:p>
      <w:pPr>
        <w:pStyle w:val="ListBullet"/>
      </w:pPr>
      <w:r>
        <w:t>Without opening the old lesson, explain one key idea from Similarity and normalisation.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Augmentation and leakage</w:t>
      </w:r>
    </w:p>
    <w:p>
      <w:pPr>
        <w:pStyle w:val="ListBullet"/>
      </w:pPr>
      <w:r>
        <w:t>Without opening the old lesson, explain one key idea from Augmentation and leakage.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A neural image classifier developed using mostly clear pictures may later receive mostly dim pictures. Its learned weights can stay unchanged while its overall results change. Dataset shift concerns changes in the data encountered, including inputs, label frequencies or the relationship between inputs and labels. A shift does not always reduce accuracy, and an accuracy change alone does not identify its cause.</w:t>
      </w:r>
    </w:p>
    <w:p>
      <w:pPr>
        <w:pStyle w:val="ListBullet"/>
      </w:pPr>
      <w:r>
        <w:t>Use the fictional audit below. Clear and dim are disjoint groups defined before the audit, and every case belongs to exactly one group. The same model checkpoint, preprocessing and prediction threshold are used throughout. Counts are constructed teaching data, not results from a deployed model. Both cohorts have checked reference labels.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Cohort</w:t>
            </w:r>
          </w:p>
        </w:tc>
        <w:tc>
          <w:tcPr>
            <w:tcW w:type="dxa" w:w="2556"/>
          </w:tcPr>
          <w:p>
            <w:r>
              <w:t>Group</w:t>
            </w:r>
          </w:p>
        </w:tc>
        <w:tc>
          <w:tcPr>
            <w:tcW w:type="dxa" w:w="2556"/>
          </w:tcPr>
          <w:p>
            <w:r>
              <w:t>Cases</w:t>
            </w:r>
          </w:p>
        </w:tc>
        <w:tc>
          <w:tcPr>
            <w:tcW w:type="dxa" w:w="2556"/>
          </w:tcPr>
          <w:p>
            <w:r>
              <w:t>Correct</w:t>
            </w:r>
          </w:p>
        </w:tc>
      </w:tr>
      <w:tr>
        <w:tc>
          <w:tcPr>
            <w:tcW w:type="dxa" w:w="2556"/>
          </w:tcPr>
          <w:p>
            <w:r>
              <w:t>Development audit</w:t>
            </w:r>
          </w:p>
        </w:tc>
        <w:tc>
          <w:tcPr>
            <w:tcW w:type="dxa" w:w="2556"/>
          </w:tcPr>
          <w:p>
            <w:r>
              <w:t>Clear</w:t>
            </w:r>
          </w:p>
        </w:tc>
        <w:tc>
          <w:tcPr>
            <w:tcW w:type="dxa" w:w="2556"/>
          </w:tcPr>
          <w:p>
            <w:r>
              <w:t>80</w:t>
            </w:r>
          </w:p>
        </w:tc>
        <w:tc>
          <w:tcPr>
            <w:tcW w:type="dxa" w:w="2556"/>
          </w:tcPr>
          <w:p>
            <w:r>
              <w:t>72</w:t>
            </w:r>
          </w:p>
        </w:tc>
      </w:tr>
      <w:tr>
        <w:tc>
          <w:tcPr>
            <w:tcW w:type="dxa" w:w="2556"/>
          </w:tcPr>
          <w:p>
            <w:r>
              <w:t>Development audit</w:t>
            </w:r>
          </w:p>
        </w:tc>
        <w:tc>
          <w:tcPr>
            <w:tcW w:type="dxa" w:w="2556"/>
          </w:tcPr>
          <w:p>
            <w:r>
              <w:t>Dim</w:t>
            </w:r>
          </w:p>
        </w:tc>
        <w:tc>
          <w:tcPr>
            <w:tcW w:type="dxa" w:w="2556"/>
          </w:tcPr>
          <w:p>
            <w:r>
              <w:t>20</w:t>
            </w:r>
          </w:p>
        </w:tc>
        <w:tc>
          <w:tcPr>
            <w:tcW w:type="dxa" w:w="2556"/>
          </w:tcPr>
          <w:p>
            <w:r>
              <w:t>10</w:t>
            </w:r>
          </w:p>
        </w:tc>
      </w:tr>
      <w:tr>
        <w:tc>
          <w:tcPr>
            <w:tcW w:type="dxa" w:w="2556"/>
          </w:tcPr>
          <w:p>
            <w:r>
              <w:t>New-use audit</w:t>
            </w:r>
          </w:p>
        </w:tc>
        <w:tc>
          <w:tcPr>
            <w:tcW w:type="dxa" w:w="2556"/>
          </w:tcPr>
          <w:p>
            <w:r>
              <w:t>Clear</w:t>
            </w:r>
          </w:p>
        </w:tc>
        <w:tc>
          <w:tcPr>
            <w:tcW w:type="dxa" w:w="2556"/>
          </w:tcPr>
          <w:p>
            <w:r>
              <w:t>20</w:t>
            </w:r>
          </w:p>
        </w:tc>
        <w:tc>
          <w:tcPr>
            <w:tcW w:type="dxa" w:w="2556"/>
          </w:tcPr>
          <w:p>
            <w:r>
              <w:t>18</w:t>
            </w:r>
          </w:p>
        </w:tc>
      </w:tr>
      <w:tr>
        <w:tc>
          <w:tcPr>
            <w:tcW w:type="dxa" w:w="2556"/>
          </w:tcPr>
          <w:p>
            <w:r>
              <w:t>New-use audit</w:t>
            </w:r>
          </w:p>
        </w:tc>
        <w:tc>
          <w:tcPr>
            <w:tcW w:type="dxa" w:w="2556"/>
          </w:tcPr>
          <w:p>
            <w:r>
              <w:t>Dim</w:t>
            </w:r>
          </w:p>
        </w:tc>
        <w:tc>
          <w:tcPr>
            <w:tcW w:type="dxa" w:w="2556"/>
          </w:tcPr>
          <w:p>
            <w:r>
              <w:t>80</w:t>
            </w:r>
          </w:p>
        </w:tc>
        <w:tc>
          <w:tcPr>
            <w:tcW w:type="dxa" w:w="2556"/>
          </w:tcPr>
          <w:p>
            <w:r>
              <w:t>40</w:t>
            </w:r>
          </w:p>
        </w:tc>
      </w:tr>
    </w:tbl>
    <w:p>
      <w:pPr>
        <w:pStyle w:val="ListBullet"/>
      </w:pPr>
      <w:r>
        <w:t>Clear accuracy is 72 / 80 = 90 percent in development and 18 / 20 = 90 percent in new use. Dim accuracy is 10 / 20 = 50 percent and 40 / 80 = 50 percent. The observed group rates are unchanged, but the group proportions are different.</w:t>
      </w:r>
    </w:p>
    <w:p>
      <w:pPr>
        <w:pStyle w:val="Heading1"/>
      </w:pPr>
      <w:r>
        <w:t>05. W1 · Explain the current example</w:t>
      </w:r>
    </w:p>
    <w:p>
      <w:r>
        <w:t>Keep this task’s inputs,rule and response together.</w:t>
      </w:r>
    </w:p>
    <w:p>
      <w:pPr>
        <w:pStyle w:val="Heading2"/>
      </w:pPr>
      <w:r>
        <w:t>Complete task and evidence</w:t>
      </w:r>
    </w:p>
    <w:p>
      <w:pPr>
        <w:pStyle w:val="ListBullet"/>
      </w:pPr>
      <w:r>
        <w:t>Main constructed disjoint groups, unchanged model/preprocessing: development clear 80 cases/72 correct, dim 20/10; new use clear 20/18, dim 80/40. Clear rate 90% and dim 50% in both cohorts. Development correct 82/100, errors 18; new correct 58/100, errors 42. Drop 24 percentage points. Weighted development .8×.9 + .2×.5 = .82; new .2×.9 + .8×.5 = .58. Equal-sized 50/50 under these exact assumed rates gives 45+25 = 70 correct of 100. Separate picture: old bright 40/32, dim 10/5 gives 37/50 = 74%; new bright 10/8, dim 40/20 gives 28/50 = 56%. Bright rate is 80%, dim 50%; restoring the old picture mix restores 74% under the same rates. Do not mix the two examples. Without checked new labels, input mix can be monitored but current accuracy is unavailable. Check versions and label definitions; use new source-group-separated comparisons, preserve the original model and reserve final evaluation after changes. No causal lighting effect is established.</w:t>
      </w:r>
    </w:p>
    <w:p>
      <w:pPr>
        <w:pStyle w:val="ListBullet"/>
      </w:pPr>
      <w:r>
        <w:t>From the table, calculate clear and dim accuracy in each cohort and the clear/dim proportions. Which observed quantities change, and which remain the same?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Main constructed disjoint groups, unchanged model/preprocessing: development clear 80 cases/72 correct, dim 20/10; new use clear 20/18, dim 80/40. Clear rate 90% and dim 50% in both cohorts. Development correct 82/100, errors 18; new correct 58/100, errors 42. Drop 24 percentage points. Weighted development .8×.9 + .2×.5 = .82; new .2×.9 + .8×.5 = .58. Equal-sized 50/50 under these exact assumed rates gives 45+25 = 70 correct of 100. Separate picture: old bright 40/32, dim 10/5 gives 37/50 = 74%; new bright 10/8, dim 40/20 gives 28/50 = 56%. Bright rate is 80%, dim 50%; restoring the old picture mix restores 74% under the same rates. Do not mix the two examples. Without checked new labels, input mix can be monitored but current accuracy is unavailable. Check versions and label definitions; use new source-group-separated comparisons, preserve the original model and reserve final evaluation after changes. No causal lighting effect is established.</w:t>
      </w:r>
    </w:p>
    <w:p>
      <w:pPr>
        <w:pStyle w:val="ListBullet"/>
      </w:pPr>
      <w:r>
        <w:t>Calculate overall correct counts, accuracy and errors in both cohorts, plus the percentage-point drop. Explain why averaging 90 percent and 50 percent without weights gives the wrong overall result here.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Main constructed disjoint groups, unchanged model/preprocessing: development clear 80 cases/72 correct, dim 20/10; new use clear 20/18, dim 80/40. Clear rate 90% and dim 50% in both cohorts. Development correct 82/100, errors 18; new correct 58/100, errors 42. Drop 24 percentage points. Weighted development .8×.9 + .2×.5 = .82; new .2×.9 + .8×.5 = .58. Equal-sized 50/50 under these exact assumed rates gives 45+25 = 70 correct of 100. Separate picture: old bright 40/32, dim 10/5 gives 37/50 = 74%; new bright 10/8, dim 40/20 gives 28/50 = 56%. Bright rate is 80%, dim 50%; restoring the old picture mix restores 74% under the same rates. Do not mix the two examples. Without checked new labels, input mix can be monitored but current accuracy is unavailable. Check versions and label definitions; use new source-group-separated comparisons, preserve the original model and reserve final evaluation after changes. No causal lighting effect is established.</w:t>
      </w:r>
    </w:p>
    <w:p>
      <w:pPr>
        <w:pStyle w:val="ListBullet"/>
      </w:pPr>
      <w:r>
        <w:t>New-use monitoring shows more dim images but reference labels have not arrived. What can you report now, what can you not calculate, and what checks should precede blaming the neural network?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Main constructed disjoint groups, unchanged model/preprocessing: development clear 80 cases/72 correct, dim 20/10; new use clear 20/18, dim 80/40. Clear rate 90% and dim 50% in both cohorts. Development correct 82/100, errors 18; new correct 58/100, errors 42. Drop 24 percentage points. Weighted development .8×.9 + .2×.5 = .82; new .2×.9 + .8×.5 = .58. Equal-sized 50/50 under these exact assumed rates gives 45+25 = 70 correct of 100. Separate picture: old bright 40/32, dim 10/5 gives 37/50 = 74%; new bright 10/8, dim 40/20 gives 28/50 = 56%. Bright rate is 80%, dim 50%; restoring the old picture mix restores 74% under the same rates. Do not mix the two examples. Without checked new labels, input mix can be monitored but current accuracy is unavailable. Check versions and label definitions; use new source-group-separated comparisons, preserve the original model and reserve final evaluation after changes. No causal lighting effect is established.</w:t>
      </w:r>
    </w:p>
    <w:p>
      <w:pPr>
        <w:pStyle w:val="ListBullet"/>
      </w:pPr>
      <w:r>
        <w:t>A team retrains using new-use errors, then evaluates on those same images and their brightened copies. Explain why the score is not independent evidence and propose a comparison that includes the original model.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Analyse a new mixture independently</w:t>
      </w:r>
    </w:p>
    <w:p>
      <w:pPr>
        <w:pStyle w:val="ListBullet"/>
      </w:pPr>
      <w:r>
        <w:t>A separate audit has development groups P: 60 cases, 48 correct and Q: 40 cases, 20 correct. New-use groups are P: 20 cases, 16 correct and Q: 80 cases, 40 correct. Compute each group rate, both overall accuracies, and the percentage-point change. Under the same group rates, what accuracy would equal-sized P and Q groups have?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mathematical evidence</w:t>
      </w:r>
    </w:p>
    <w:p>
      <w:r>
        <w:t>Keep this task’s inputs,rule and response together.</w:t>
      </w:r>
    </w:p>
    <w:p>
      <w:pPr>
        <w:pStyle w:val="Heading2"/>
      </w:pPr>
      <w:r>
        <w:t>Complete task and evidence</w:t>
      </w:r>
    </w:p>
    <w:p>
      <w:pPr>
        <w:pStyle w:val="ListBullet"/>
      </w:pPr>
      <w:r>
        <w:t>Add a labelled dataset shift in neural models evidence sheet to Image-pattern Network Investigation. Show how you can explain how a changed input mix can change overall accuracy.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Use the right denominator for Dataset shift in neural models.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Dataset shift in neural models. Proposed explanation: “Average the percentages regardless of group sizes”.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A separate audit has development groups P: 60 cases, 48 correct and Q: 40 cases, 20 correct. New-use groups are P: 20 cases, 16 correct and Q: 80 cases, 40 correct. Compute each group rate, both overall accuracies, and the percentage-point change. Under the same group rates, what accuracy would equal-sized P and Q groups have?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Separate within-setting performance from changing setting proportions.</w:t>
      </w:r>
    </w:p>
    <w:p>
      <w:pPr>
        <w:pStyle w:val="ListBullet"/>
      </w:pPr>
      <w:r>
        <w:t>Toy old-use mix: bright 40 cases 32 correct; dim 10 cases 5 correct. New-use mix: bright 10 cases 8 correct; dim 40 cases 20 correct.</w:t>
      </w:r>
    </w:p>
    <w:p>
      <w:pPr>
        <w:pStyle w:val="ListBullet"/>
      </w:pPr>
      <w:r>
        <w:t>All inputs and outcomes in this worked example are invented classroom data; no real model run is claimed.</w:t>
      </w:r>
    </w:p>
    <w:p>
      <w:r>
        <w:drawing>
          <wp:inline xmlns:a="http://schemas.openxmlformats.org/drawingml/2006/main" xmlns:pic="http://schemas.openxmlformats.org/drawingml/2006/picture">
            <wp:extent cx="5486400" cy="3621314"/>
            <wp:docPr id="1" name="Picture 1" descr="Fixed slice rates, changed pooled accuracy"/>
            <wp:cNvGraphicFramePr>
              <a:graphicFrameLocks noChangeAspect="1"/>
            </wp:cNvGraphicFramePr>
            <a:graphic>
              <a:graphicData uri="http://schemas.openxmlformats.org/drawingml/2006/picture">
                <pic:pic>
                  <pic:nvPicPr>
                    <pic:cNvPr id="0" name="academy-detail-ai-5-30.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Dataset shift in neural models. Keep slice rates: Bright is 80% in both mixes; dim is 50% in both.. Old pooled rate: Old accuracy 37/50=74%.. New pooled rate: New accuracy 28/50=56%; more use now occurs in the harder dim setting."/>
            <wp:cNvGraphicFramePr>
              <a:graphicFrameLocks noChangeAspect="1"/>
            </wp:cNvGraphicFramePr>
            <a:graphic>
              <a:graphicData uri="http://schemas.openxmlformats.org/drawingml/2006/picture">
                <pic:pic>
                  <pic:nvPicPr>
                    <pic:cNvPr id="0" name="academy-visual-ai-5-30.png"/>
                    <pic:cNvPicPr/>
                  </pic:nvPicPr>
                  <pic:blipFill>
                    <a:blip r:embed="rId10"/>
                    <a:stretch>
                      <a:fillRect/>
                    </a:stretch>
                  </pic:blipFill>
                  <pic:spPr>
                    <a:xfrm>
                      <a:off x="0" y="0"/>
                      <a:ext cx="5486400" cy="5185229"/>
                    </a:xfrm>
                    <a:prstGeom prst="rect"/>
                  </pic:spPr>
                </pic:pic>
              </a:graphicData>
            </a:graphic>
          </wp:inline>
        </w:drawing>
      </w:r>
    </w:p>
    <w:p>
      <w:pPr>
        <w:pStyle w:val="ListBullet"/>
      </w:pPr>
      <w:r>
        <w:t>Did the supplied model’s dim-light accuracy deteriorate?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Reference · Project milestone</w:t>
      </w:r>
    </w:p>
    <w:p>
      <w:r>
        <w:t>Keep this task’s inputs,rule and response together.</w:t>
      </w:r>
    </w:p>
    <w:p>
      <w:pPr>
        <w:pStyle w:val="Heading2"/>
      </w:pPr>
      <w:r>
        <w:t>Complete task and evidence</w:t>
      </w:r>
    </w:p>
    <w:p>
      <w:pPr>
        <w:pStyle w:val="ListBullet"/>
      </w:pPr>
      <w:r>
        <w:t>Project: Image-pattern Network Investigation</w:t>
      </w:r>
    </w:p>
    <w:p>
      <w:pPr>
        <w:pStyle w:val="ListBullet"/>
      </w:pPr>
      <w:r>
        <w:t>Current milestone: Prepare the demonstration. Gather reproducible instructions, evidence, access checks and remaining limitations.</w:t>
      </w:r>
    </w:p>
    <w:p>
      <w:pPr>
        <w:pStyle w:val="ListBullet"/>
      </w:pPr>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Separate within-setting performance from changing setting proportions.</w:t>
      </w:r>
    </w:p>
    <w:p>
      <w:pPr>
        <w:pStyle w:val="Heading3"/>
      </w:pPr>
      <w:r>
        <w:t>Practice 1: explain the deciding evidence</w:t>
      </w:r>
    </w:p>
    <w:p>
      <w:pPr>
        <w:pStyle w:val="ListBullet"/>
      </w:pPr>
      <w:r>
        <w:t>Which labelled step matches this detail? New accuracy 28/50=56%; more use now occurs in the harder dim setting.</w:t>
      </w:r>
    </w:p>
    <w:p>
      <w:pPr>
        <w:pStyle w:val="ListBullet"/>
      </w:pPr>
      <w:r>
        <w:t>1. New pooled rate</w:t>
      </w:r>
    </w:p>
    <w:p>
      <w:pPr>
        <w:pStyle w:val="ListBullet"/>
      </w:pPr>
      <w:r>
        <w:t>2. Keep slice rates</w:t>
      </w:r>
    </w:p>
    <w:p>
      <w:pPr>
        <w:pStyle w:val="ListBullet"/>
      </w:pPr>
      <w:r>
        <w:t>3. Old pooled rate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New pooled rate New accuracy 28/50=56%; more use now occurs in the harder dim setting.</w:t>
      </w:r>
    </w:p>
    <w:p>
      <w:pPr>
        <w:spacing w:line="336" w:lineRule="auto" w:after="180"/>
      </w:pPr>
      <w:r>
        <w:rPr>
          <w:b w:val="0"/>
        </w:rPr>
        <w:t>A pooled rate depends on how often each condition appears as well as performance within that condition. Bright and dim accuracy stay fixed in this example. The new use contains more dim cases, so its pooled accuracy falls.</w:t>
      </w:r>
    </w:p>
    <w:p>
      <w:pPr>
        <w:spacing w:line="336" w:lineRule="auto" w:after="180"/>
      </w:pPr>
      <w:r>
        <w:rPr>
          <w:b w:val="0"/>
        </w:rPr>
        <w:t>Report both group counts and group rates before concluding that the network itself deteriorated.</w:t>
      </w:r>
    </w:p>
    <w:p>
      <w:pPr>
        <w:pStyle w:val="Heading2"/>
      </w:pPr>
      <w:r>
        <w:t>Changed-case question and optional hint</w:t>
      </w:r>
    </w:p>
    <w:p>
      <w:pPr>
        <w:pStyle w:val="Heading3"/>
      </w:pPr>
      <w:r>
        <w:t>Practice 2: explain the deciding evidence</w:t>
      </w:r>
    </w:p>
    <w:p>
      <w:pPr>
        <w:pStyle w:val="ListBullet"/>
      </w:pPr>
      <w:r>
        <w:t>Changed-case practice: New-use mix returns to40 bright and 10 dim with the same slice rates. Which conclusion is supported by the supplied facts?</w:t>
      </w:r>
    </w:p>
    <w:p>
      <w:pPr>
        <w:pStyle w:val="ListBullet"/>
      </w:pPr>
      <w:r>
        <w:t>1. This one example guarantees correct results for every future input.</w:t>
      </w:r>
    </w:p>
    <w:p>
      <w:pPr>
        <w:pStyle w:val="ListBullet"/>
      </w:pPr>
      <w:r>
        <w:t>2. Pooled accuracy returns to74%.</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Pooled accuracy returns to74%. The mixture weights change, while each slice’s conditional performance stays fixed.</w:t>
      </w:r>
    </w:p>
    <w:p>
      <w:pPr>
        <w:pStyle w:val="Heading2"/>
      </w:pPr>
      <w:r>
        <w:t>Repair and retain the record</w:t>
      </w:r>
    </w:p>
    <w:p>
      <w:pPr>
        <w:spacing w:line="336" w:lineRule="auto" w:after="180"/>
      </w:pPr>
      <w:r>
        <w:rPr>
          <w:b w:val="0"/>
        </w:rPr>
        <w:t>Review Uncertainty and failure analysis (ai-5/29). Goal: Distinguish a predicted class, confidence score and observed correctness. Short practice: What is C’s positive-class probability and chosen-label confidence?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Similarity and normalisation (ai-5/27). Goal: Calculate vector length and normalise a nonzero vector. Short practice: Why do the original two metrics select different winners?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Augmentation and leakage (ai-5/24). Goal: Check whether a transformation preserves the task label. Short practice: How many independent source groups are in the final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Dataset shift in neural models: the case</w:t>
      </w:r>
    </w:p>
    <w:p>
      <w:r>
        <w:drawing>
          <wp:inline xmlns:a="http://schemas.openxmlformats.org/drawingml/2006/main" xmlns:pic="http://schemas.openxmlformats.org/drawingml/2006/picture">
            <wp:extent cx="5486400" cy="3142488"/>
            <wp:docPr id="3" name="Picture 3" descr="Separate within-setting performance from changing setting proportions. Supplied facts: Toy old-use mix: bright 40 cases 32 correct; dim 10 cases 5 correct. New-use mix: bright 10 cases 8 correct; dim 40 cases 20 correc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30-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Separate within-setting performance from changing setting proportions. Supplied facts: Toy old-use mix: bright 40 cases 32 correct; dim 10 cases 5 correct. New-use mix: bright 10 cases 8 correct; dim 40 cases 20 correct.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4" name="Picture 4" descr="Keep slice rates: Bright is 80% in both mixes; dim is 50% in both. → Old pooled rate: Old accuracy 37/50=74%. → New pooled rate: New accuracy 28/50=56%; more use now occurs in the harder dim setting."/>
            <wp:cNvGraphicFramePr>
              <a:graphicFrameLocks noChangeAspect="1"/>
            </wp:cNvGraphicFramePr>
            <a:graphic>
              <a:graphicData uri="http://schemas.openxmlformats.org/drawingml/2006/picture">
                <pic:pic>
                  <pic:nvPicPr>
                    <pic:cNvPr id="0" name="academy-story-ai-5-30-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Keep slice rates: Bright is </w:t>
      </w:r>
      <w:r>
        <w:rPr>
          <w:b/>
        </w:rPr>
        <w:t>80%</w:t>
      </w:r>
      <w:r>
        <w:rPr>
          <w:b w:val="0"/>
        </w:rPr>
        <w:t xml:space="preserve"> in both mixes; dim is 50% in both. → Old pooled rate: Old accuracy 37/50=74%. → New pooled rate: New accuracy 28/50=56%; more use now occurs in the harder dim setting.</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Fixed slice rates, changed pooled accuracy</w:t>
      </w:r>
    </w:p>
    <w:p>
      <w:r>
        <w:drawing>
          <wp:inline xmlns:a="http://schemas.openxmlformats.org/drawingml/2006/main" xmlns:pic="http://schemas.openxmlformats.org/drawingml/2006/picture">
            <wp:extent cx="5486400" cy="3584448"/>
            <wp:docPr id="5" name="Picture 5" descr="Fixed slice rates, changed pooled accuracy. Units: accuracy percent. bright: 80. dim: 50. old pooled: 74. new pooled: 56."/>
            <wp:cNvGraphicFramePr>
              <a:graphicFrameLocks noChangeAspect="1"/>
            </wp:cNvGraphicFramePr>
            <a:graphic>
              <a:graphicData uri="http://schemas.openxmlformats.org/drawingml/2006/picture">
                <pic:pic>
                  <pic:nvPicPr>
                    <pic:cNvPr id="0" name="academy-story-ai-5-30-03.png"/>
                    <pic:cNvPicPr/>
                  </pic:nvPicPr>
                  <pic:blipFill>
                    <a:blip r:embed="rId13"/>
                    <a:stretch>
                      <a:fillRect/>
                    </a:stretch>
                  </pic:blipFill>
                  <pic:spPr>
                    <a:xfrm>
                      <a:off x="0" y="0"/>
                      <a:ext cx="5486400" cy="3584448"/>
                    </a:xfrm>
                    <a:prstGeom prst="rect"/>
                  </pic:spPr>
                </pic:pic>
              </a:graphicData>
            </a:graphic>
          </wp:inline>
        </w:drawing>
      </w:r>
    </w:p>
    <w:p>
      <w:pPr>
        <w:spacing w:line="336" w:lineRule="auto" w:after="180"/>
      </w:pPr>
      <w:r>
        <w:rPr>
          <w:b w:val="0"/>
        </w:rPr>
        <w:t>Fixed slice rates, changed pooled accuracy. Units: accuracy percent. bright: 80. dim: 50. old pooled: 74. new pooled: 56.</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New accuracy 28/50=56%; more use now occurs in the harder dim setting. Changed condition: New-use mix returns to40 bright and 10 dim with the same slice rates. Expected result: Pooled accuracy returns to74%. Reason: The mixture weights change, while each slice’s conditional performance stays fixed."/>
            <wp:cNvGraphicFramePr>
              <a:graphicFrameLocks noChangeAspect="1"/>
            </wp:cNvGraphicFramePr>
            <a:graphic>
              <a:graphicData uri="http://schemas.openxmlformats.org/drawingml/2006/picture">
                <pic:pic>
                  <pic:nvPicPr>
                    <pic:cNvPr id="0" name="academy-story-ai-5-30-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New accuracy 28/50=56%; more use now occurs in the harder dim setting. Changed condition: New-use mix returns to40 bright and 10 dim with the same slice rates. Expected result: Pooled accuracy returns to74%.</w:t>
      </w:r>
    </w:p>
    <w:p>
      <w:pPr>
        <w:spacing w:line="336" w:lineRule="auto" w:after="180"/>
      </w:pPr>
      <w:r>
        <w:rPr>
          <w:b w:val="0"/>
        </w:rPr>
        <w:t>Reason: The mixture weights change, while each slice’s conditional performance stays fixed.</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 pooled rate depends on how often each condition appears as well as performance within that condition. Bright and dim accuracy stay fixed in this example. The new use contains more dim cases, so its pooled accuracy falls. Report both group counts and group rates before concluding that the network itself deteriorated. Limit: Real shift can also change labels, sensors and within-slice behaviour; this toy decomposition isolates only mixture change."/>
            <wp:cNvGraphicFramePr>
              <a:graphicFrameLocks noChangeAspect="1"/>
            </wp:cNvGraphicFramePr>
            <a:graphic>
              <a:graphicData uri="http://schemas.openxmlformats.org/drawingml/2006/picture">
                <pic:pic>
                  <pic:nvPicPr>
                    <pic:cNvPr id="0" name="academy-story-ai-5-30-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A pooled rate depends on how often each condition appears as well as performance within that condition. Bright and dim accuracy stay fixed in this example. The new use contains more dim cases, so its pooled accuracy falls.</w:t>
      </w:r>
    </w:p>
    <w:p>
      <w:pPr>
        <w:spacing w:line="336" w:lineRule="auto" w:after="180"/>
      </w:pPr>
      <w:r>
        <w:rPr>
          <w:b w:val="0"/>
        </w:rPr>
        <w:t>Report both group counts and group rates before concluding that the network itself deteriorated.</w:t>
      </w:r>
    </w:p>
    <w:p>
      <w:pPr>
        <w:spacing w:line="336" w:lineRule="auto" w:after="180"/>
      </w:pPr>
      <w:r>
        <w:rPr>
          <w:b w:val="0"/>
        </w:rPr>
        <w:t>Limit: Real shift can also change labels, sensors and within-slice behaviour; this toy decomposition isolates only mixture change.</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Did the supplied model’s dim-light accuracy deteriorat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30-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Did the supplied model’s dim-light accuracy deteriorate?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Dataset shift in neural models: the case</w:t>
      </w:r>
    </w:p>
    <w:p>
      <w:pPr>
        <w:pStyle w:val="Heading3"/>
      </w:pPr>
      <w:r>
        <w:t>02. Follow the deciding steps</w:t>
      </w:r>
    </w:p>
    <w:p>
      <w:pPr>
        <w:pStyle w:val="Heading3"/>
      </w:pPr>
      <w:r>
        <w:t>03. Fixed slice rates, changed pooled accuracy</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