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ai-5/34</w:t>
      </w:r>
    </w:p>
    <w:p>
      <w:pPr>
        <w:pStyle w:val="Title"/>
      </w:pPr>
      <w:r>
        <w:t>Capstone controlled experiments</w:t>
      </w:r>
    </w:p>
    <w:p>
      <w:r>
        <w:t>Project: Image-pattern Network Investigation</w:t>
      </w:r>
    </w:p>
    <w:p>
      <w:pPr>
        <w:pStyle w:val="Heading1"/>
      </w:pPr>
      <w:r>
        <w:t>One complete controlled-experiment record.</w:t>
      </w:r>
    </w:p>
    <w:p>
      <w:r>
        <w:t>Keep fixed settings, changed rate, all checkpoints and validation choice together.</w:t>
      </w:r>
    </w:p>
    <w:p>
      <w:r>
        <w:t>Recall → W1–W3/W5 → independent comparison → project history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Capstone hypothesis and baseline</w:t>
      </w:r>
    </w:p>
    <w:p>
      <w:pPr>
        <w:pStyle w:val="ListBullet"/>
      </w:pPr>
      <w:r>
        <w:t>Without opening the old lesson, explain one key idea from Capstone hypothesis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Efficiency and resource measurement</w:t>
      </w:r>
    </w:p>
    <w:p>
      <w:pPr>
        <w:pStyle w:val="ListBullet"/>
      </w:pPr>
      <w:r>
        <w:t>Without opening the old lesson, explain one key idea from Efficiency and resource measurement.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learning</w:t>
      </w:r>
    </w:p>
    <w:p>
      <w:pPr>
        <w:pStyle w:val="ListBullet"/>
      </w:pPr>
      <w:r>
        <w:t>Without opening the old lesson, explain one key idea from Transfer learning.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Continue with training (1,2) and (2,4), validation (3,6) and (4,8), and prediction max(0, a*x). Compare learning rates 0.1 and 0.2. Each run starts at a = 1, has no bias and takes two full-batch updates. Keep the loss, data order and arithmetic fixed. This toy model has no randomness; repeating the exact run checks replay, not variation across seeds.</w:t>
      </w:r>
    </w:p>
    <w:p>
      <w:pPr>
        <w:pStyle w:val="ListBullet"/>
      </w:pPr>
      <w:r>
        <w:t>Record the comparison as an explicit revision to the one-candidate Week 33 plan before viewing new results. Validation may guide selection; sealed final data must not. Select lower validation MSE, with a tie going to learning rate 0.1.</w:t>
      </w:r>
    </w:p>
    <w:p>
      <w:pPr>
        <w:pStyle w:val="Heading1"/>
      </w:pPr>
      <w:r>
        <w:t>05. W1 · Explain the current example</w:t>
      </w:r>
    </w:p>
    <w:p>
      <w:r>
        <w:t>Keep this task’s inputs,rule and response together.</w:t>
      </w:r>
    </w:p>
    <w:p>
      <w:pPr>
        <w:pStyle w:val="Heading2"/>
      </w:pPr>
      <w:r>
        <w:t>Complete task and evidence</w:t>
      </w:r>
    </w:p>
    <w:p>
      <w:pPr>
        <w:pStyle w:val="ListBullet"/>
      </w:pPr>
      <w:r>
        <w:t>Main versioned comparison: prediction ReLU(a*x), no bias, initial a1, two full-batch MSE updates; training (1, 2), (2, 4), validation (3, 6), (4, 8). Active-region gradient 5(a−2). Rate .1: gradient−5, weight 1.5, then gradient−2.5, weight 1.75; final train MSE .15625, validation predictions 5.25/7, squared errors .5625/1, MSE .78125. Rate .2: gradient−5, weight 2, then gradient 0, weight 2; train/validation MSE 0. Baseline a1 train MSE 2.5, validation 12.5. Lower validation MSE selects .2; ties go to .1. Only two distinct validation cases. Separate supported .3 path 1→2.5→1.75 has same final score but different intermediate state and is not retroactively a selection candidate. Separate supplied picture flags A [1, 1, 0, 1, 0, 1], B [1, 1, 1, 1, 0, 1]: correct 4/6 versus 5/6; case 3 differs, case 5 fails both. Flags are not predicted labels; no actual image-model run is supplied. Final cases remain outside selection; no timings or seed variation measured.</w:t>
      </w:r>
    </w:p>
    <w:p>
      <w:pPr>
        <w:pStyle w:val="ListBullet"/>
      </w:pPr>
      <w:r>
        <w:t>List six settings held fixed and the single intended changed factor.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versioned comparison: prediction ReLU(a*x), no bias, initial a1, two full-batch MSE updates; training (1, 2), (2, 4), validation (3, 6), (4, 8). Active-region gradient 5(a−2). Rate .1: gradient−5, weight 1.5, then gradient−2.5, weight 1.75; final train MSE .15625, validation predictions 5.25/7, squared errors .5625/1, MSE .78125. Rate .2: gradient−5, weight 2, then gradient 0, weight 2; train/validation MSE 0. Baseline a1 train MSE 2.5, validation 12.5. Lower validation MSE selects .2; ties go to .1. Only two distinct validation cases. Separate supported .3 path 1→2.5→1.75 has same final score but different intermediate state and is not retroactively a selection candidate. Separate supplied picture flags A [1, 1, 0, 1, 0, 1], B [1, 1, 1, 1, 0, 1]: correct 4/6 versus 5/6; case 3 differs, case 5 fails both. Flags are not predicted labels; no actual image-model run is supplied. Final cases remain outside selection; no timings or seed variation measured.</w:t>
      </w:r>
    </w:p>
    <w:p>
      <w:pPr>
        <w:pStyle w:val="ListBullet"/>
      </w:pPr>
      <w:r>
        <w:t>Compute both updates for rates 0.1 and 0.2 using gradient 5*(a-2).</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versioned comparison: prediction ReLU(a*x), no bias, initial a1, two full-batch MSE updates; training (1, 2), (2, 4), validation (3, 6), (4, 8). Active-region gradient 5(a−2). Rate .1: gradient−5, weight 1.5, then gradient−2.5, weight 1.75; final train MSE .15625, validation predictions 5.25/7, squared errors .5625/1, MSE .78125. Rate .2: gradient−5, weight 2, then gradient 0, weight 2; train/validation MSE 0. Baseline a1 train MSE 2.5, validation 12.5. Lower validation MSE selects .2; ties go to .1. Only two distinct validation cases. Separate supported .3 path 1→2.5→1.75 has same final score but different intermediate state and is not retroactively a selection candidate. Separate supplied picture flags A [1, 1, 0, 1, 0, 1], B [1, 1, 1, 1, 0, 1]: correct 4/6 versus 5/6; case 3 differs, case 5 fails both. Flags are not predicted labels; no actual image-model run is supplied. Final cases remain outside selection; no timings or seed variation measured.</w:t>
      </w:r>
    </w:p>
    <w:p>
      <w:pPr>
        <w:pStyle w:val="ListBullet"/>
      </w:pPr>
      <w:r>
        <w:t>Recompute validation MSE for the final weights and apply the written selection rule. How many distinct validation rows were used?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versioned comparison: prediction ReLU(a*x), no bias, initial a1, two full-batch MSE updates; training (1, 2), (2, 4), validation (3, 6), (4, 8). Active-region gradient 5(a−2). Rate .1: gradient−5, weight 1.5, then gradient−2.5, weight 1.75; final train MSE .15625, validation predictions 5.25/7, squared errors .5625/1, MSE .78125. Rate .2: gradient−5, weight 2, then gradient 0, weight 2; train/validation MSE 0. Baseline a1 train MSE 2.5, validation 12.5. Lower validation MSE selects .2; ties go to .1. Only two distinct validation cases. Separate supported .3 path 1→2.5→1.75 has same final score but different intermediate state and is not retroactively a selection candidate. Separate supplied picture flags A [1, 1, 0, 1, 0, 1], B [1, 1, 1, 1, 0, 1]: correct 4/6 versus 5/6; case 3 differs, case 5 fails both. Flags are not predicted labels; no actual image-model run is supplied. Final cases remain outside selection; no timings or seed variation measured.</w:t>
      </w:r>
    </w:p>
    <w:p>
      <w:pPr>
        <w:pStyle w:val="ListBullet"/>
      </w:pPr>
      <w:r>
        <w:t>Run A uses rate 0.1 for two updates; run B uses rate 0.2 for six updates and different training rows. Can the difference be attributed to rate alone? Propose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Run a new comparison independently</w:t>
      </w:r>
    </w:p>
    <w:p>
      <w:pPr>
        <w:pStyle w:val="ListBullet"/>
      </w:pPr>
      <w:r>
        <w:t>For training (1,3),(2,6) and validation (3,9),(4,12), start a = 1. Compare rates 0.1 and 0.2 for two updates. Gradient is 5*(a-3). Compute final weights and validation MSE, then select lower MSE; ties go to 0.1.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For Image-pattern Network Investigation, use this week’s independent task as a rehearsal for the final evidence pack: For training (1,3),(2,6) and validation (3,9),(4,12), start a = 1. Compare rates 0.1 and 0.2 for two updates. Gradient is 5*(a-3). Compute final weights and validation MSE, then select lower MSE; ties go to 0.1.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both runs for Capstone controlled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Capstone controlled experiments. Proposed explanation: “More runs mean more validation examples”.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For training (1,3),(2,6) and validation (3,9),(4,12), start a = 1. Compare rates 0.1 and 0.2 for two updates. Gradient is 5*(a-3). Compute final weights and validation MSE, then select lower MSE; ties go to 0.1.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One controlled network change. The capstone compares two fixed networks on the same six labelled toy patterns. Only one feature connection is added.</w:t>
      </w:r>
    </w:p>
    <w:p>
      <w:pPr>
        <w:pStyle w:val="ListBullet"/>
      </w:pPr>
      <w: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ListBullet"/>
      </w:pPr>
      <w:r>
        <w:t>Compute the two correct counts and identify the changed case. Why would changing B’s training data weaken the conclusion about its added connection?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Image-pattern Network Investigation, save the labelled trace and the changed-case explanation beside the experiment record. State exactly what this example supports before linking it to the wider capstone claim.</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Present and defend. Demonstrate the system, explain one failure and justify the next improvement with evidence.</w:t>
      </w:r>
    </w:p>
    <w:p>
      <w:pPr>
        <w:pStyle w:val="ListBullet"/>
      </w:pPr>
      <w:r>
        <w:t>For the Image-pattern Network Investigation, save the labelled trace and the changed-case explanation beside the experiment record. State exactly what this example supports before linking it to the wider capstone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One controlled network change. The capstone compares two fixed networks on the same six labelled toy patterns. Only one feature connection is added.</w:t>
      </w:r>
    </w:p>
    <w:p>
      <w:pPr>
        <w:pStyle w:val="Heading3"/>
      </w:pPr>
      <w:r>
        <w:t>Practice 1: explain the deciding evidence</w:t>
      </w:r>
    </w:p>
    <w:p>
      <w:pPr>
        <w:pStyle w:val="ListBullet"/>
      </w:pPr>
      <w:r>
        <w:t>Which labelled step matches this detail? Only case three changes correctness; case five fails for both.</w:t>
      </w:r>
    </w:p>
    <w:p>
      <w:pPr>
        <w:pStyle w:val="ListBullet"/>
      </w:pPr>
      <w:r>
        <w:t>1. Inspect paired cases</w:t>
      </w:r>
    </w:p>
    <w:p>
      <w:pPr>
        <w:pStyle w:val="ListBullet"/>
      </w:pPr>
      <w:r>
        <w:t>2. Identify the intervention</w:t>
      </w:r>
    </w:p>
    <w:p>
      <w:pPr>
        <w:pStyle w:val="ListBullet"/>
      </w:pPr>
      <w:r>
        <w:t>3. Count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Inspect paired cases Only case three changes correctness; case five fails for both.</w:t>
      </w:r>
    </w:p>
    <w:p>
      <w:pPr>
        <w:spacing w:line="336" w:lineRule="auto" w:after="180"/>
      </w:pPr>
      <w:r>
        <w:rPr>
          <w:b w:val="0"/>
        </w:rPr>
        <w:t>Controlled experiments vary the specified component while retaining comparable cases. Pairing the outcomes by pattern shows where the score difference comes from instead of hiding it in an overall average.</w:t>
      </w:r>
    </w:p>
    <w:p>
      <w:pPr>
        <w:pStyle w:val="Heading2"/>
      </w:pPr>
      <w:r>
        <w:t>Changed-case question and optional hint</w:t>
      </w:r>
    </w:p>
    <w:p>
      <w:pPr>
        <w:pStyle w:val="Heading3"/>
      </w:pPr>
      <w:r>
        <w:t>Practice 2: explain the deciding evidence</w:t>
      </w:r>
    </w:p>
    <w:p>
      <w:pPr>
        <w:pStyle w:val="ListBullet"/>
      </w:pPr>
      <w:r>
        <w:t>Changed-case practice: Change B’s training set as well as the feature connection.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experiment no longer isolates the connection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experiment no longer isolates the connection change. A </w:t>
      </w:r>
      <w:r>
        <w:rPr>
          <w:b/>
        </w:rPr>
        <w:t>training</w:t>
      </w:r>
      <w:r>
        <w:rPr>
          <w:b w:val="0"/>
        </w:rPr>
        <w:t>-data difference supplies an alternative explanation for the observed result.</w:t>
      </w:r>
    </w:p>
    <w:p>
      <w:pPr>
        <w:pStyle w:val="Heading2"/>
      </w:pPr>
      <w:r>
        <w:t>Repair and retain the record</w:t>
      </w:r>
    </w:p>
    <w:p>
      <w:pPr>
        <w:spacing w:line="336" w:lineRule="auto" w:after="180"/>
      </w:pPr>
      <w:r>
        <w:rPr>
          <w:b w:val="0"/>
        </w:rPr>
        <w:t>Review Capstone hypothesis and baseline (ai-5/33). Goal: Write a testable capstone hypothesis and a credible baseline. Short practice: Name the intended change, the baseline and the measured outcome.</w:t>
      </w:r>
    </w:p>
    <w:p>
      <w:pPr>
        <w:spacing w:line="336" w:lineRule="auto" w:after="180"/>
      </w:pPr>
      <w:r>
        <w:rPr>
          <w:b w:val="0"/>
        </w:rPr>
        <w:t xml:space="preserve">Why must both versions avoid </w:t>
      </w:r>
      <w:r>
        <w:rPr>
          <w:b/>
        </w:rPr>
        <w:t>training</w:t>
      </w:r>
      <w:r>
        <w:rPr>
          <w:b w:val="0"/>
        </w:rPr>
        <w:t xml:space="preserve"> on the eight reserved labels?. Return to this week and explain what you changed.</w:t>
      </w:r>
    </w:p>
    <w:p>
      <w:pPr>
        <w:spacing w:line="336" w:lineRule="auto" w:after="180"/>
      </w:pPr>
      <w:r>
        <w:rPr>
          <w:b w:val="0"/>
        </w:rPr>
        <w:t>Review Efficiency and resource measurement (ai-5/31). Goal: Calculate throughput and amortised time per example from repeated timings. Short practice: Why is 10 ms/case not necessarily a single-request latency?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Transfer learning (ai-5/28). Goal: Trace a reused feature extractor and a newly fitted </w:t>
      </w:r>
      <w:r>
        <w:rPr>
          <w:b/>
        </w:rPr>
        <w:t>output</w:t>
      </w:r>
      <w:r>
        <w:rPr>
          <w:b w:val="0"/>
        </w:rPr>
        <w:t xml:space="preserve"> head. Short practice: Which part was trained for the new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Capstone controlled experiments: the case</w:t>
      </w:r>
    </w:p>
    <w:p>
      <w:r>
        <w:drawing>
          <wp:inline xmlns:a="http://schemas.openxmlformats.org/drawingml/2006/main" xmlns:pic="http://schemas.openxmlformats.org/drawingml/2006/picture">
            <wp:extent cx="5486400" cy="2834640"/>
            <wp:docPr id="3" name="Picture 3" descr="One controlled network change. The capstone compares two fixed networks on the same six labelled toy patterns. Only one feature connection is added. Supplied facts: A scores [1,1,0,1,0,1]; B scores [1,1,1,1,0,1]. Settings, labels and scoring remain fixed. Binary entries mean 1=correct and 0=incorrect."/>
            <wp:cNvGraphicFramePr>
              <a:graphicFrameLocks noChangeAspect="1"/>
            </wp:cNvGraphicFramePr>
            <a:graphic>
              <a:graphicData uri="http://schemas.openxmlformats.org/drawingml/2006/picture">
                <pic:pic>
                  <pic:nvPicPr>
                    <pic:cNvPr id="0" name="academy-story-ai-5-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One controlled network change. The capstone compares two fixed networks on the same six labelled toy patterns. Only one feature connection is added. Supplied facts: A scores [1,1,0,1,0,1]; B scores [1,1,1,1,0,1].</w:t>
      </w:r>
    </w:p>
    <w:p>
      <w:pPr>
        <w:spacing w:line="336" w:lineRule="auto" w:after="180"/>
      </w:pPr>
      <w:r>
        <w:rPr>
          <w:b w:val="0"/>
        </w:rPr>
        <w:t>Settings, labels and scoring remain fixed. Binary entries mean 1=correct and 0=incorrect.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Identify the intervention: B adds the centre-feature connection; all other declared settings stay fixed. → Count outcomes: A is 4/6 correct; B is 5/6. → Inspect paired cases: Only case three changes correctness; case five fails for both."/>
            <wp:cNvGraphicFramePr>
              <a:graphicFrameLocks noChangeAspect="1"/>
            </wp:cNvGraphicFramePr>
            <a:graphic>
              <a:graphicData uri="http://schemas.openxmlformats.org/drawingml/2006/picture">
                <pic:pic>
                  <pic:nvPicPr>
                    <pic:cNvPr id="0" name="academy-story-ai-5-3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Identify the intervention: B adds the centre-feature connection; all other declared settings stay fixed. → Count outcomes: A is 4/6 correct; B is 5/6. → Inspect paired cases: Only case three changes correctness; case five fails for both.</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Controlled toy-pattern comparison</w:t>
      </w:r>
    </w:p>
    <w:p>
      <w:r>
        <w:drawing>
          <wp:inline xmlns:a="http://schemas.openxmlformats.org/drawingml/2006/main" xmlns:pic="http://schemas.openxmlformats.org/drawingml/2006/picture">
            <wp:extent cx="5486400" cy="2834640"/>
            <wp:docPr id="5" name="Picture 5" descr="Controlled toy-pattern comparison. Units: correct labels out of 6 shared patterns. A: 4. B: 5."/>
            <wp:cNvGraphicFramePr>
              <a:graphicFrameLocks noChangeAspect="1"/>
            </wp:cNvGraphicFramePr>
            <a:graphic>
              <a:graphicData uri="http://schemas.openxmlformats.org/drawingml/2006/picture">
                <pic:pic>
                  <pic:nvPicPr>
                    <pic:cNvPr id="0" name="academy-story-ai-5-3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Controlled toy-pattern comparison. Units: correct labels out of 6 shared patterns. A: 4. B: 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Only case three changes correctness; case five fails for both. Changed condition: Change B’s training set as well as the feature connection. Expected result: The experiment no longer isolates the connection change. Reason: A training-data difference supplies an alternative explanation for the observed result."/>
            <wp:cNvGraphicFramePr>
              <a:graphicFrameLocks noChangeAspect="1"/>
            </wp:cNvGraphicFramePr>
            <a:graphic>
              <a:graphicData uri="http://schemas.openxmlformats.org/drawingml/2006/picture">
                <pic:pic>
                  <pic:nvPicPr>
                    <pic:cNvPr id="0" name="academy-story-ai-5-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Only case three changes correctness; case five fails for both. Changed condition: Change B’s </w:t>
      </w:r>
      <w:r>
        <w:rPr>
          <w:b/>
        </w:rPr>
        <w:t>training</w:t>
      </w:r>
      <w:r>
        <w:rPr>
          <w:b w:val="0"/>
        </w:rPr>
        <w:t xml:space="preserve"> set as well as the feature connection.</w:t>
      </w:r>
    </w:p>
    <w:p>
      <w:pPr>
        <w:spacing w:line="336" w:lineRule="auto" w:after="180"/>
      </w:pPr>
      <w:r>
        <w:rPr>
          <w:b w:val="0"/>
        </w:rPr>
        <w:t xml:space="preserve">Expected result: The experiment no longer isolates the connection change. Reason: A </w:t>
      </w:r>
      <w:r>
        <w:rPr>
          <w:b/>
        </w:rPr>
        <w:t>training</w:t>
      </w:r>
      <w:r>
        <w:rPr>
          <w:b w:val="0"/>
        </w:rPr>
        <w:t>-data difference supplies an alternative explanation for the observed result.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Controlled experiments vary the specified component while retaining comparable cases. Pairing the outcomes by pattern shows where the score difference comes from instead of hiding it in an overall average. Limit: These descriptive toy results do not establish significance, stable superiority or the full learned mechanism."/>
            <wp:cNvGraphicFramePr>
              <a:graphicFrameLocks noChangeAspect="1"/>
            </wp:cNvGraphicFramePr>
            <a:graphic>
              <a:graphicData uri="http://schemas.openxmlformats.org/drawingml/2006/picture">
                <pic:pic>
                  <pic:nvPicPr>
                    <pic:cNvPr id="0" name="academy-story-ai-5-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Controlled experiments vary the specified component while retaining comparable cases. Pairing the outcomes by pattern shows where the score difference comes from instead of hiding it in an overall average.</w:t>
      </w:r>
    </w:p>
    <w:p>
      <w:pPr>
        <w:spacing w:line="336" w:lineRule="auto" w:after="180"/>
      </w:pPr>
      <w:r>
        <w:rPr>
          <w:b w:val="0"/>
        </w:rPr>
        <w:t xml:space="preserve">Limit: These descriptive toy results do not establish significance, stable superiority or the full learned </w:t>
      </w:r>
      <w:r>
        <w:rPr>
          <w:b/>
        </w:rPr>
        <w:t>mechanism</w:t>
      </w:r>
      <w:r>
        <w:rPr>
          <w:b w:val="0"/>
        </w:rPr>
        <w: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ompute the two correct counts and identify the changed case. Why would changing B’s training data weaken the conclusion about its added connection?"/>
            <wp:cNvGraphicFramePr>
              <a:graphicFrameLocks noChangeAspect="1"/>
            </wp:cNvGraphicFramePr>
            <a:graphic>
              <a:graphicData uri="http://schemas.openxmlformats.org/drawingml/2006/picture">
                <pic:pic>
                  <pic:nvPicPr>
                    <pic:cNvPr id="0" name="academy-story-ai-5-3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Compute the two correct counts and identify the changed case. Why would changing B’s </w:t>
      </w:r>
      <w:r>
        <w:rPr>
          <w:b/>
        </w:rPr>
        <w:t>training</w:t>
      </w:r>
      <w:r>
        <w:rPr>
          <w:b w:val="0"/>
        </w:rPr>
        <w:t xml:space="preserve"> data weaken the conclusion about its added connection?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Capstone controlled experiments: the case</w:t>
      </w:r>
    </w:p>
    <w:p>
      <w:pPr>
        <w:pStyle w:val="Heading3"/>
      </w:pPr>
      <w:r>
        <w:t>02. Follow the deciding steps</w:t>
      </w:r>
    </w:p>
    <w:p>
      <w:pPr>
        <w:pStyle w:val="Heading3"/>
      </w:pPr>
      <w:r>
        <w:t>03. Controlled toy-pattern comparison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