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ai-6/5</w:t>
      </w:r>
    </w:p>
    <w:p>
      <w:pPr>
        <w:pStyle w:val="Title"/>
      </w:pPr>
      <w:r>
        <w:t>Authentication and authorisation</w:t>
      </w:r>
    </w:p>
    <w:p>
      <w:r>
        <w:t>Project: Grounded Learning Service</w:t>
      </w:r>
    </w:p>
    <w:p>
      <w:pPr>
        <w:pStyle w:val="Heading1"/>
      </w:pPr>
      <w:r>
        <w:t>One complete authentication-and-permission reasoning record.</w:t>
      </w:r>
    </w:p>
    <w:p>
      <w:r>
        <w:t>Keep trusted context, request claims, action, object, decision and evidence limits together.</w:t>
      </w:r>
    </w:p>
    <w:p>
      <w:r>
        <w:t>Recall → W1–W3/W5 → individual role check → project permission policy → delayed return.</w:t>
      </w:r>
    </w:p>
    <w:p>
      <w:pPr>
        <w:pStyle w:val="Heading1"/>
      </w:pPr>
      <w:r>
        <w:t>01. Recall · Retrieve before notes</w:t>
      </w:r>
    </w:p>
    <w:p>
      <w:r>
        <w:t>Keep this task’s inputs,rule and response together.</w:t>
      </w:r>
    </w:p>
    <w:p>
      <w:pPr>
        <w:pStyle w:val="Heading2"/>
      </w:pPr>
      <w:r>
        <w:t>Complete task and evidence</w:t>
      </w:r>
    </w:p>
    <w:p>
      <w:pPr>
        <w:pStyle w:val="ListBullet"/>
      </w:pPr>
      <w:r>
        <w:t>Try the recall before opening notes. Then use a different colour or a labelled second line to correct your explanation.</w:t>
      </w:r>
    </w:p>
    <w:p>
      <w:pPr>
        <w:pStyle w:val="Heading3"/>
      </w:pPr>
      <w:r>
        <w:t>Configuration and secrets</w:t>
      </w:r>
    </w:p>
    <w:p>
      <w:pPr>
        <w:pStyle w:val="ListBullet"/>
      </w:pPr>
      <w:r>
        <w:t>Without opening the old lesson, explain one key idea from Configuration and secrets.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Architecture and data flow</w:t>
      </w:r>
    </w:p>
    <w:p>
      <w:pPr>
        <w:pStyle w:val="ListBullet"/>
      </w:pPr>
      <w:r>
        <w:t>Without opening the old lesson, explain one key idea from Architecture and data flow.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Lesson reference for workbook practice</w:t>
      </w:r>
    </w:p>
    <w:p>
      <w:pPr>
        <w:pStyle w:val="ListBullet"/>
      </w:pPr>
      <w:r>
        <w:t>Use this reference for the original W1–W3 and W5 exercises. The separately named independent case supplies its own changed facts; use those facts for that attempt before feedback.</w:t>
      </w:r>
    </w:p>
    <w:p>
      <w:pPr>
        <w:pStyle w:val="ListBullet"/>
      </w:pPr>
      <w:r>
        <w:t>Authentication identifies an actor; authorisation decides whether that actor may perform a particular operation on a particular resource.</w:t>
      </w:r>
    </w:p>
    <w:p>
      <w:pPr>
        <w:pStyle w:val="ListBullet"/>
      </w:pPr>
      <w:r>
        <w:t>Use trusted session roles, never a role claimed inside user JSON. Student may read student resources; teacher may read both. Unauthenticated requests are denied.</w:t>
      </w:r>
    </w:p>
    <w:p>
      <w:pPr>
        <w:pStyle w:val="Heading1"/>
      </w:pPr>
      <w:r>
        <w:t>05. W1 · Explain the current example</w:t>
      </w:r>
    </w:p>
    <w:p>
      <w:r>
        <w:t>Keep this task’s inputs,rule and response together.</w:t>
      </w:r>
    </w:p>
    <w:p>
      <w:pPr>
        <w:pStyle w:val="Heading2"/>
      </w:pPr>
      <w:r>
        <w:t>Complete task and evidence</w:t>
      </w:r>
    </w:p>
    <w:p>
      <w:pPr>
        <w:pStyle w:val="ListBullet"/>
      </w:pPr>
      <w:r>
        <w:t>School service policy: trusted student may read student resources; trusted teacher may read student and teacher resources; no recognized trusted session or unknown role/resource classification denies. Main request comes from a trusted student session but carries role=teacher and asks to read a teacher guide. Use trusted session role, deny before reading guide body, and leave session unchanged. Client-written roles never promote authority. Authentication establishes identity/session context; authorization checks action/resource permission using trusted policy. Local code starts with trusted fixtures, not a real login. Separate museum policy: verified volunteer Jo may read C but not edit C; verified curator with edit permission passes that gate, subject to remaining checks. Permission is not executed editing. No real authentication protocol, expiry, writes or deployment are implemented. Later school role decisions apply the already taught policy; collect individual reasoning and reserve a fresh action/resource case for new-transfer claims.</w:t>
      </w:r>
    </w:p>
    <w:p>
      <w:pPr>
        <w:pStyle w:val="ListBullet"/>
      </w:pPr>
      <w:r>
        <w:t>Explain the weekly mechanism in your own words. Use the worked scenario to name its input, decision rule and output.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06. W2 · Trace the calculation</w:t>
      </w:r>
    </w:p>
    <w:p>
      <w:r>
        <w:t>Keep this task’s inputs,rule and response together.</w:t>
      </w:r>
    </w:p>
    <w:p>
      <w:pPr>
        <w:pStyle w:val="Heading2"/>
      </w:pPr>
      <w:r>
        <w:t>Complete task and evidence</w:t>
      </w:r>
    </w:p>
    <w:p>
      <w:pPr>
        <w:pStyle w:val="ListBullet"/>
      </w:pPr>
      <w:r>
        <w:t>School service policy: trusted student may read student resources; trusted teacher may read student and teacher resources; no recognized trusted session or unknown role/resource classification denies. Main request comes from a trusted student session but carries role=teacher and asks to read a teacher guide. Use trusted session role, deny before reading guide body, and leave session unchanged. Client-written roles never promote authority. Authentication establishes identity/session context; authorization checks action/resource permission using trusted policy. Local code starts with trusted fixtures, not a real login. Separate museum policy: verified volunteer Jo may read C but not edit C; verified curator with edit permission passes that gate, subject to remaining checks. Permission is not executed editing. No real authentication protocol, expiry, writes or deployment are implemented. Later school role decisions apply the already taught policy; collect individual reasoning and reserve a fresh action/resource case for new-transfer claims.</w:t>
      </w:r>
    </w:p>
    <w:p>
      <w:pPr>
        <w:pStyle w:val="ListBullet"/>
      </w:pPr>
      <w:r>
        <w:t>A student session submits role=teacher in request data and asks for a guide. Show the intermediate steps and give the conclusion with its scope.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W3 · Repair a misconception</w:t>
      </w:r>
    </w:p>
    <w:p>
      <w:r>
        <w:t>Keep this task’s inputs,rule and response together.</w:t>
      </w:r>
    </w:p>
    <w:p>
      <w:pPr>
        <w:pStyle w:val="Heading2"/>
      </w:pPr>
      <w:r>
        <w:t>Complete task and evidence</w:t>
      </w:r>
    </w:p>
    <w:p>
      <w:pPr>
        <w:pStyle w:val="ListBullet"/>
      </w:pPr>
      <w:r>
        <w:t>School service policy: trusted student may read student resources; trusted teacher may read student and teacher resources; no recognized trusted session or unknown role/resource classification denies. Main request comes from a trusted student session but carries role=teacher and asks to read a teacher guide. Use trusted session role, deny before reading guide body, and leave session unchanged. Client-written roles never promote authority. Authentication establishes identity/session context; authorization checks action/resource permission using trusted policy. Local code starts with trusted fixtures, not a real login. Separate museum policy: verified volunteer Jo may read C but not edit C; verified curator with edit permission passes that gate, subject to remaining checks. Permission is not executed editing. No real authentication protocol, expiry, writes or deployment are implemented. Later school role decisions apply the already taught policy; collect individual reasoning and reserve a fresh action/resource case for new-transfer claims.</w:t>
      </w:r>
    </w:p>
    <w:p>
      <w:pPr>
        <w:pStyle w:val="ListBullet"/>
      </w:pPr>
      <w:r>
        <w:t>A report omits this qualification: Successful authentication does not grant every resource or operation. Explain how omitting it could change a reader's interpretation, and write an accurate replacement.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09. W5 · Explain the limitation</w:t>
      </w:r>
    </w:p>
    <w:p>
      <w:r>
        <w:t>Keep this task’s inputs,rule and response together.</w:t>
      </w:r>
    </w:p>
    <w:p>
      <w:pPr>
        <w:pStyle w:val="Heading2"/>
      </w:pPr>
      <w:r>
        <w:t>Complete task and evidence</w:t>
      </w:r>
    </w:p>
    <w:p>
      <w:pPr>
        <w:pStyle w:val="ListBullet"/>
      </w:pPr>
      <w:r>
        <w:t>School service policy: trusted student may read student resources; trusted teacher may read student and teacher resources; no recognized trusted session or unknown role/resource classification denies. Main request comes from a trusted student session but carries role=teacher and asks to read a teacher guide. Use trusted session role, deny before reading guide body, and leave session unchanged. Client-written roles never promote authority. Authentication establishes identity/session context; authorization checks action/resource permission using trusted policy. Local code starts with trusted fixtures, not a real login. Separate museum policy: verified volunteer Jo may read C but not edit C; verified curator with edit permission passes that gate, subject to remaining checks. Permission is not executed editing. No real authentication protocol, expiry, writes or deployment are implemented. Later school role decisions apply the already taught policy; collect individual reasoning and reserve a fresh action/resource case for new-transfer claims.</w:t>
      </w:r>
    </w:p>
    <w:p>
      <w:pPr>
        <w:pStyle w:val="ListBullet"/>
      </w:pPr>
      <w:r>
        <w:t>For the worked scenario, propose one additional case that could reveal a failure, describe its expected outcome before running it, and explain what would need to remain fixed for a fair comparison. Do not reuse W4 as a new final test after receiving feedback.</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Try alone · Selected transfer</w:t>
      </w:r>
    </w:p>
    <w:p>
      <w:r>
        <w:t>Keep this task’s inputs,rule and response together.</w:t>
      </w:r>
    </w:p>
    <w:p>
      <w:pPr>
        <w:pStyle w:val="Heading2"/>
      </w:pPr>
      <w:r>
        <w:t>Complete task and evidence</w:t>
      </w:r>
    </w:p>
    <w:p>
      <w:pPr>
        <w:pStyle w:val="Heading3"/>
      </w:pPr>
      <w:r>
        <w:t>Independent case: Apply a new case independently</w:t>
      </w:r>
    </w:p>
    <w:p>
      <w:pPr>
        <w:pStyle w:val="ListBullet"/>
      </w:pPr>
      <w:r>
        <w:t>Actor roles are none, student, teacher; target is teacher guide. Decide each under the policy.</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Attempt this case before feedback. Record any help. Earlier examples below are further practice; a case already practised with feedback cannot establish fresh transfer.</w:t>
      </w:r>
    </w:p>
    <w:p>
      <w:pPr>
        <w:pStyle w:val="Heading1"/>
      </w:pPr>
      <w:r>
        <w:t>10. Project · Keep the service evidence</w:t>
      </w:r>
    </w:p>
    <w:p>
      <w:r>
        <w:t>Preserve the contract, inputs, observed outcomes and limits.</w:t>
      </w:r>
    </w:p>
    <w:p>
      <w:pPr>
        <w:pStyle w:val="Heading2"/>
      </w:pPr>
      <w:r>
        <w:t>Complete task and evidence</w:t>
      </w:r>
    </w:p>
    <w:p>
      <w:pPr>
        <w:pStyle w:val="ListBullet"/>
      </w:pPr>
      <w:r>
        <w:t>Add a labelled authentication and authorisation evidence sheet to Grounded Learning Service. Show how you can explain the mechanism and terminology of authentication and authorisation. Use the supplied fictional case and keep its inputs, intermediate steps, calculation or prediction, and limitation. Connect this record to last week’s record; a matching answer without a trace is insufficient.</w:t>
      </w:r>
    </w:p>
    <w:p>
      <w:pPr>
        <w:pStyle w:val="Heading3"/>
      </w:pPr>
      <w:r>
        <w:t>My project change, supporting evidence and remaining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Feedback · Repair and return</w:t>
      </w:r>
    </w:p>
    <w:p>
      <w:r>
        <w:t>Keep this task’s inputs,rule and response together.</w:t>
      </w:r>
    </w:p>
    <w:p>
      <w:pPr>
        <w:pStyle w:val="Heading2"/>
      </w:pPr>
      <w:r>
        <w:t>Complete task and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pStyle w:val="ListBullet"/>
      </w:pPr>
      <w:r>
        <w:t>Revisit this idea with your teacher after a delay. Familiarity is different from explaining and using it on a changed case.</w:t>
      </w:r>
    </w:p>
    <w:p>
      <w:pPr>
        <w:pStyle w:val="Heading1"/>
      </w:pPr>
      <w:r>
        <w:t>Reference bank and extra practice</w:t>
      </w:r>
    </w:p>
    <w:p>
      <w:pPr>
        <w:pStyle w:val="Heading1"/>
      </w:pPr>
      <w:r>
        <w:t>02. Reference · Supported W2 record</w:t>
      </w:r>
    </w:p>
    <w:p>
      <w:r>
        <w:t>Keep this task’s inputs,rule and response together.</w:t>
      </w:r>
    </w:p>
    <w:p>
      <w:pPr>
        <w:pStyle w:val="Heading2"/>
      </w:pPr>
      <w:r>
        <w:t>Complete task and evidence</w:t>
      </w:r>
    </w:p>
    <w:p>
      <w:pPr>
        <w:pStyle w:val="ListBullet"/>
      </w:pPr>
      <w:r>
        <w:t>Use W2: Trace the worked case for Authentication and authorisation.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Extra practice · Individual reasoning check</w:t>
      </w:r>
    </w:p>
    <w:p>
      <w:r>
        <w:t>Keep this task’s inputs,rule and response together.</w:t>
      </w:r>
    </w:p>
    <w:p>
      <w:pPr>
        <w:pStyle w:val="Heading2"/>
      </w:pPr>
      <w:r>
        <w:t>Complete task and evidence</w:t>
      </w:r>
    </w:p>
    <w:p>
      <w:pPr>
        <w:pStyle w:val="ListBullet"/>
      </w:pPr>
      <w:r>
        <w:t>Use the worked case for Authentication and authorisation. Proposed explanation: “The worked result establishes every future case”. Decide whether this explanation is supported. 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Reference · Earlier W4 response copy</w:t>
      </w:r>
    </w:p>
    <w:p>
      <w:r>
        <w:t>Keep this task’s inputs,rule and response together.</w:t>
      </w:r>
    </w:p>
    <w:p>
      <w:pPr>
        <w:pStyle w:val="Heading2"/>
      </w:pPr>
      <w:r>
        <w:t>Complete task and evidence</w:t>
      </w:r>
    </w:p>
    <w:p>
      <w:pPr>
        <w:pStyle w:val="ListBullet"/>
      </w:pPr>
      <w:r>
        <w:t>Actor roles are none, student, teacher; target is teacher guide. Decide each under the policy.</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12. Extra practice · Pictured case</w:t>
      </w:r>
    </w:p>
    <w:p>
      <w:r>
        <w:t>Keep this task’s inputs,rule and response together.</w:t>
      </w:r>
    </w:p>
    <w:p>
      <w:pPr>
        <w:pStyle w:val="Heading2"/>
      </w:pPr>
      <w:r>
        <w:t>Complete task and evidence</w:t>
      </w:r>
    </w:p>
    <w:p>
      <w:pPr>
        <w:pStyle w:val="ListBullet"/>
      </w:pPr>
      <w:r>
        <w:t>A verified reader cannot edit. Jo logs in as a verified museum volunteer and asks to edit card C.</w:t>
      </w:r>
    </w:p>
    <w:p>
      <w:pPr>
        <w:pStyle w:val="ListBullet"/>
      </w:pPr>
      <w:r>
        <w:t>Trusted policy grants volunteers read access to C; only curators may edit it.</w:t>
      </w:r>
    </w:p>
    <w:p>
      <w:r>
        <w:drawing>
          <wp:inline xmlns:a="http://schemas.openxmlformats.org/drawingml/2006/main" xmlns:pic="http://schemas.openxmlformats.org/drawingml/2006/picture">
            <wp:extent cx="5486400" cy="5185229"/>
            <wp:docPr id="1" name="Picture 1" descr="Authentication and authorisation. Identify Jo: Authentication establishes Jo’s identity and volunteer role.. Check the action: Editing C requires curator authority.. Deny the edit: Keep C unchanged; the authenticated volunteer lacks this permission."/>
            <wp:cNvGraphicFramePr>
              <a:graphicFrameLocks noChangeAspect="1"/>
            </wp:cNvGraphicFramePr>
            <a:graphic>
              <a:graphicData uri="http://schemas.openxmlformats.org/drawingml/2006/picture">
                <pic:pic>
                  <pic:nvPicPr>
                    <pic:cNvPr id="0" name="academy-visual-ai-6-5.png"/>
                    <pic:cNvPicPr/>
                  </pic:nvPicPr>
                  <pic:blipFill>
                    <a:blip r:embed="rId9"/>
                    <a:stretch>
                      <a:fillRect/>
                    </a:stretch>
                  </pic:blipFill>
                  <pic:spPr>
                    <a:xfrm>
                      <a:off x="0" y="0"/>
                      <a:ext cx="5486400" cy="5185229"/>
                    </a:xfrm>
                    <a:prstGeom prst="rect"/>
                  </pic:spPr>
                </pic:pic>
              </a:graphicData>
            </a:graphic>
          </wp:inline>
        </w:drawing>
      </w:r>
    </w:p>
    <w:p>
      <w:pPr>
        <w:pStyle w:val="ListBullet"/>
      </w:pPr>
      <w:r>
        <w:t>Explain why Jo’s valid volunteer login does not permit editing C. Which trusted role change allows the action, and why is a role written in the request insufficient?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Support used: alone / hint / worked example. This record is practice evidence.</w:t>
      </w:r>
    </w:p>
    <w:p>
      <w:pPr>
        <w:pStyle w:val="ListBullet"/>
      </w:pPr>
      <w:r>
        <w:t>Project connection: For the Grounded Learning Service, retain an annotated trace and the changed-case result. Name the contract or evidence that makes the deciding step valid, so another team can review it.</w:t>
      </w:r>
    </w:p>
    <w:p>
      <w:pPr>
        <w:pStyle w:val="Heading1"/>
      </w:pPr>
      <w:r>
        <w:t>13. Reference · Project milestone</w:t>
      </w:r>
    </w:p>
    <w:p>
      <w:r>
        <w:t>Keep this task’s inputs,rule and response together.</w:t>
      </w:r>
    </w:p>
    <w:p>
      <w:pPr>
        <w:pStyle w:val="Heading2"/>
      </w:pPr>
      <w:r>
        <w:t>Complete task and evidence</w:t>
      </w:r>
    </w:p>
    <w:p>
      <w:pPr>
        <w:pStyle w:val="ListBullet"/>
      </w:pPr>
      <w:r>
        <w:t>Project: Grounded Learning Service</w:t>
      </w:r>
    </w:p>
    <w:p>
      <w:pPr>
        <w:pStyle w:val="ListBullet"/>
      </w:pPr>
      <w:r>
        <w:t>Current milestone: Frame the need. Name the user, the problem, allowed inputs and a safe simple starting method.</w:t>
      </w:r>
    </w:p>
    <w:p>
      <w:pPr>
        <w:pStyle w:val="ListBullet"/>
      </w:pPr>
      <w:r>
        <w:t>For the Grounded Learning Service, retain an annotated trace and the changed-case result. Name the contract or evidence that makes the deciding step valid, so another team can review it.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Extra practice · Predict,check and repair</w:t>
      </w:r>
    </w:p>
    <w:p>
      <w:r>
        <w:t>Keep supported feedback separate from the independent case.</w:t>
      </w:r>
    </w:p>
    <w:p>
      <w:pPr>
        <w:pStyle w:val="Heading2"/>
      </w:pPr>
      <w:r>
        <w:t>First supported question and optional hint</w:t>
      </w:r>
    </w:p>
    <w:p>
      <w:pPr>
        <w:pStyle w:val="ListBullet"/>
      </w:pPr>
      <w:r>
        <w:t>A verified reader cannot edit. Jo logs in as a verified museum volunteer and asks to edit card C.</w:t>
      </w:r>
    </w:p>
    <w:p>
      <w:pPr>
        <w:pStyle w:val="Heading3"/>
      </w:pPr>
      <w:r>
        <w:t>Practice 1: explain the deciding evidence</w:t>
      </w:r>
    </w:p>
    <w:p>
      <w:pPr>
        <w:pStyle w:val="ListBullet"/>
      </w:pPr>
      <w:r>
        <w:t>Which labelled step matches this detail? Keep C unchanged; the authenticated volunteer lacks this permission.</w:t>
      </w:r>
    </w:p>
    <w:p>
      <w:pPr>
        <w:pStyle w:val="ListBullet"/>
      </w:pPr>
      <w:r>
        <w:t>1. Check the action</w:t>
      </w:r>
    </w:p>
    <w:p>
      <w:pPr>
        <w:pStyle w:val="ListBullet"/>
      </w:pPr>
      <w:r>
        <w:t>2. Deny the edit</w:t>
      </w:r>
    </w:p>
    <w:p>
      <w:pPr>
        <w:pStyle w:val="ListBullet"/>
      </w:pPr>
      <w:r>
        <w:t>3. Identify Jo</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after the first attempt · reference / check after trying</w:t>
      </w:r>
    </w:p>
    <w:p>
      <w:pPr>
        <w:spacing w:line="336" w:lineRule="auto" w:after="180"/>
      </w:pPr>
      <w:r>
        <w:rPr>
          <w:b w:val="0"/>
        </w:rPr>
        <w:t xml:space="preserve">After your attempt, compare with the supported explanation: Deny the edit Keep C unchanged; the authenticated volunteer lacks this permission. </w:t>
      </w:r>
      <w:r>
        <w:rPr>
          <w:b/>
        </w:rPr>
        <w:t>Authentication</w:t>
      </w:r>
      <w:r>
        <w:rPr>
          <w:b w:val="0"/>
        </w:rPr>
        <w:t xml:space="preserve"> establishes identity.</w:t>
      </w:r>
    </w:p>
    <w:p>
      <w:pPr>
        <w:spacing w:line="336" w:lineRule="auto" w:after="180"/>
      </w:pPr>
      <w:r>
        <w:rPr>
          <w:b/>
        </w:rPr>
        <w:t>Authorisation</w:t>
      </w:r>
      <w:r>
        <w:rPr>
          <w:b w:val="0"/>
        </w:rPr>
        <w:t xml:space="preserve"> compares that identity with the requested action and resource.</w:t>
      </w:r>
    </w:p>
    <w:p>
      <w:pPr>
        <w:pStyle w:val="Heading2"/>
      </w:pPr>
      <w:r>
        <w:t>Changed-case question and optional hint</w:t>
      </w:r>
    </w:p>
    <w:p>
      <w:pPr>
        <w:pStyle w:val="Heading3"/>
      </w:pPr>
      <w:r>
        <w:t>Practice 2: explain the deciding evidence</w:t>
      </w:r>
    </w:p>
    <w:p>
      <w:pPr>
        <w:pStyle w:val="ListBullet"/>
      </w:pPr>
      <w:r>
        <w:t>Changed-case practice: Use a verified curator permitted to edit C. Which conclusion is supported by the supplied facts?</w:t>
      </w:r>
    </w:p>
    <w:p>
      <w:pPr>
        <w:pStyle w:val="ListBullet"/>
      </w:pPr>
      <w:r>
        <w:t>1. We can decide the result without examining the changed input or the procedure.</w:t>
      </w:r>
    </w:p>
    <w:p>
      <w:pPr>
        <w:pStyle w:val="ListBullet"/>
      </w:pPr>
      <w:r>
        <w:t>2. This one example guarantees correct results for every future input.</w:t>
      </w:r>
    </w:p>
    <w:p>
      <w:pPr>
        <w:pStyle w:val="ListBullet"/>
      </w:pPr>
      <w:r>
        <w:t>3. The authorisation gate allows the edit, subject to other declared checks.</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after the changed attempt · reference / check after trying</w:t>
      </w:r>
    </w:p>
    <w:p>
      <w:pPr>
        <w:spacing w:line="336" w:lineRule="auto" w:after="180"/>
      </w:pPr>
      <w:r>
        <w:rPr>
          <w:b w:val="0"/>
        </w:rPr>
        <w:t xml:space="preserve">After your attempt, compare with the supported explanation: The </w:t>
      </w:r>
      <w:r>
        <w:rPr>
          <w:b/>
        </w:rPr>
        <w:t>authorisation</w:t>
      </w:r>
      <w:r>
        <w:rPr>
          <w:b w:val="0"/>
        </w:rPr>
        <w:t xml:space="preserve"> gate allows the edit, subject to other declared checks. The </w:t>
      </w:r>
      <w:r>
        <w:rPr>
          <w:b/>
        </w:rPr>
        <w:t>trusted role</w:t>
      </w:r>
      <w:r>
        <w:rPr>
          <w:b w:val="0"/>
        </w:rPr>
        <w:t xml:space="preserve"> now matches this operation and object.</w:t>
      </w:r>
    </w:p>
    <w:p>
      <w:pPr>
        <w:pStyle w:val="Heading2"/>
      </w:pPr>
      <w:r>
        <w:t>Repair and retain the record</w:t>
      </w:r>
    </w:p>
    <w:p>
      <w:pPr>
        <w:spacing w:line="336" w:lineRule="auto" w:after="180"/>
      </w:pPr>
      <w:r>
        <w:rPr>
          <w:b w:val="0"/>
        </w:rPr>
        <w:t xml:space="preserve">Review Configuration and secrets (ai-6/4). Goal: Explain the </w:t>
      </w:r>
      <w:r>
        <w:rPr>
          <w:b/>
        </w:rPr>
        <w:t>mechanism</w:t>
      </w:r>
      <w:r>
        <w:rPr>
          <w:b w:val="0"/>
        </w:rPr>
        <w:t xml:space="preserve"> and terminology of configuration and secrets. Short practice: Point to the public setting and the protected credential.</w:t>
      </w:r>
    </w:p>
    <w:p>
      <w:pPr>
        <w:spacing w:line="336" w:lineRule="auto" w:after="180"/>
      </w:pPr>
      <w:r>
        <w:rPr>
          <w:b w:val="0"/>
        </w:rPr>
        <w:t>What changes when maximum_words becomes 60, and which information must never appear in the startup log?. Return to this week and explain what you changed.</w:t>
      </w:r>
    </w:p>
    <w:p>
      <w:pPr>
        <w:spacing w:line="336" w:lineRule="auto" w:after="180"/>
      </w:pPr>
      <w:r>
        <w:rPr>
          <w:b w:val="0"/>
        </w:rPr>
        <w:t xml:space="preserve">Review Architecture and data flow (ai-6/2). Goal: Explain the </w:t>
      </w:r>
      <w:r>
        <w:rPr>
          <w:b/>
        </w:rPr>
        <w:t>mechanism</w:t>
      </w:r>
      <w:r>
        <w:rPr>
          <w:b w:val="0"/>
        </w:rPr>
        <w:t xml:space="preserve"> and terminology of architecture and data flow. Short practice: Label what moves along the library request, retrieval and drafting arrows.</w:t>
      </w:r>
    </w:p>
    <w:p>
      <w:pPr>
        <w:spacing w:line="336" w:lineRule="auto" w:after="180"/>
      </w:pPr>
      <w:r>
        <w:rPr>
          <w:b w:val="0"/>
        </w:rPr>
        <w:t>Where does 17:30 come from, and why must the service stop if the retrieval arrow is disconnected?. Return to this week and explain what you changed.</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Predict, run and debug</w:t>
      </w:r>
    </w:p>
    <w:p>
      <w:pPr>
        <w:pStyle w:val="Heading3"/>
      </w:pPr>
      <w:r>
        <w:t>Keep your completed work</w:t>
      </w:r>
    </w:p>
    <w:p>
      <w:pPr>
        <w:pStyle w:val="Heading1"/>
      </w:pPr>
      <w:r>
        <w:t>15. Reference · Six-picture response sheets</w:t>
      </w:r>
    </w:p>
    <w:p>
      <w:r>
        <w:t>Choose the picture that helps explain the current step.</w:t>
      </w:r>
    </w:p>
    <w:p>
      <w:pPr>
        <w:pStyle w:val="Heading2"/>
      </w:pPr>
      <w:r>
        <w:t>01. Authentication and authorisation: the case</w:t>
      </w:r>
    </w:p>
    <w:p>
      <w:r>
        <w:drawing>
          <wp:inline xmlns:a="http://schemas.openxmlformats.org/drawingml/2006/main" xmlns:pic="http://schemas.openxmlformats.org/drawingml/2006/picture">
            <wp:extent cx="5486400" cy="2834640"/>
            <wp:docPr id="2" name="Picture 2" descr="A verified reader cannot edit. Jo logs in as a verified museum volunteer and asks to edit card C. Supplied facts: Trusted policy grants volunteers read access to C; only curators may edit it."/>
            <wp:cNvGraphicFramePr>
              <a:graphicFrameLocks noChangeAspect="1"/>
            </wp:cNvGraphicFramePr>
            <a:graphic>
              <a:graphicData uri="http://schemas.openxmlformats.org/drawingml/2006/picture">
                <pic:pic>
                  <pic:nvPicPr>
                    <pic:cNvPr id="0" name="academy-story-ai-6-5-01.png"/>
                    <pic:cNvPicPr/>
                  </pic:nvPicPr>
                  <pic:blipFill>
                    <a:blip r:embed="rId10"/>
                    <a:stretch>
                      <a:fillRect/>
                    </a:stretch>
                  </pic:blipFill>
                  <pic:spPr>
                    <a:xfrm>
                      <a:off x="0" y="0"/>
                      <a:ext cx="5486400" cy="2834640"/>
                    </a:xfrm>
                    <a:prstGeom prst="rect"/>
                  </pic:spPr>
                </pic:pic>
              </a:graphicData>
            </a:graphic>
          </wp:inline>
        </w:drawing>
      </w:r>
    </w:p>
    <w:p>
      <w:pPr>
        <w:spacing w:line="336" w:lineRule="auto" w:after="180"/>
      </w:pPr>
      <w:r>
        <w:rPr>
          <w:b w:val="0"/>
        </w:rPr>
        <w:t>A verified reader cannot edit. Jo logs in as a verified museum volunteer and asks to edit card C. Supplied facts: Trusted policy grants volunteers read access to C; only curators may edit it.</w:t>
      </w:r>
    </w:p>
    <w:p>
      <w:pPr>
        <w:spacing w:line="336" w:lineRule="auto" w:after="180"/>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02. Follow the deciding steps</w:t>
      </w:r>
    </w:p>
    <w:p>
      <w:r>
        <w:drawing>
          <wp:inline xmlns:a="http://schemas.openxmlformats.org/drawingml/2006/main" xmlns:pic="http://schemas.openxmlformats.org/drawingml/2006/picture">
            <wp:extent cx="5486400" cy="3182112"/>
            <wp:docPr id="3" name="Picture 3" descr="Identify Jo: Authentication establishes Jo’s identity and volunteer role. → Check the action: Editing C requires curator authority. → Deny the edit: Keep C unchanged; the authenticated volunteer lacks this permission."/>
            <wp:cNvGraphicFramePr>
              <a:graphicFrameLocks noChangeAspect="1"/>
            </wp:cNvGraphicFramePr>
            <a:graphic>
              <a:graphicData uri="http://schemas.openxmlformats.org/drawingml/2006/picture">
                <pic:pic>
                  <pic:nvPicPr>
                    <pic:cNvPr id="0" name="academy-story-ai-6-5-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 xml:space="preserve">Identify Jo: </w:t>
      </w:r>
      <w:r>
        <w:rPr>
          <w:b/>
        </w:rPr>
        <w:t>Authentication</w:t>
      </w:r>
      <w:r>
        <w:rPr>
          <w:b w:val="0"/>
        </w:rPr>
        <w:t xml:space="preserve"> establishes Jo’s identity and volunteer role. → Check the action: Editing C requires curator authority. → Deny the edit: Keep C unchanged; the authenticated volunteer lacks this permission.</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03. Authentication and authorisation — evidence trace</w:t>
      </w:r>
    </w:p>
    <w:p>
      <w:r>
        <w:drawing>
          <wp:inline xmlns:a="http://schemas.openxmlformats.org/drawingml/2006/main" xmlns:pic="http://schemas.openxmlformats.org/drawingml/2006/picture">
            <wp:extent cx="5486400" cy="2996184"/>
            <wp:docPr id="4" name="Picture 4" descr="Authentication and authorisation — evidence trace. A student session submits role=teacher in request data and asks for a guide. | Use trusted session roles, never a role claimed inside user JSON. Student may read student resources; teacher may read both. Unauthenticated requests are denied. | The trusted session remains student; deny teacher guide access. A claimed role cannot change authenticated authority."/>
            <wp:cNvGraphicFramePr>
              <a:graphicFrameLocks noChangeAspect="1"/>
            </wp:cNvGraphicFramePr>
            <a:graphic>
              <a:graphicData uri="http://schemas.openxmlformats.org/drawingml/2006/picture">
                <pic:pic>
                  <pic:nvPicPr>
                    <pic:cNvPr id="0" name="academy-story-ai-6-5-03.png"/>
                    <pic:cNvPicPr/>
                  </pic:nvPicPr>
                  <pic:blipFill>
                    <a:blip r:embed="rId12"/>
                    <a:stretch>
                      <a:fillRect/>
                    </a:stretch>
                  </pic:blipFill>
                  <pic:spPr>
                    <a:xfrm>
                      <a:off x="0" y="0"/>
                      <a:ext cx="5486400" cy="2996184"/>
                    </a:xfrm>
                    <a:prstGeom prst="rect"/>
                  </pic:spPr>
                </pic:pic>
              </a:graphicData>
            </a:graphic>
          </wp:inline>
        </w:drawing>
      </w:r>
    </w:p>
    <w:p>
      <w:pPr>
        <w:spacing w:line="336" w:lineRule="auto" w:after="180"/>
      </w:pPr>
      <w:r>
        <w:rPr>
          <w:b/>
        </w:rPr>
        <w:t>Authentication</w:t>
      </w:r>
      <w:r>
        <w:rPr>
          <w:b w:val="0"/>
        </w:rPr>
        <w:t xml:space="preserve"> and </w:t>
      </w:r>
      <w:r>
        <w:rPr>
          <w:b/>
        </w:rPr>
        <w:t>authorisation</w:t>
      </w:r>
      <w:r>
        <w:rPr>
          <w:b w:val="0"/>
        </w:rPr>
        <w:t xml:space="preserve"> — </w:t>
      </w:r>
      <w:r>
        <w:rPr>
          <w:b/>
        </w:rPr>
        <w:t>evidence</w:t>
      </w:r>
      <w:r>
        <w:rPr>
          <w:b w:val="0"/>
        </w:rPr>
        <w:t xml:space="preserve"> trace. A student session submits role=teacher in request data and asks for a guide. | Use trusted session roles, never a role claimed inside user JSON.</w:t>
      </w:r>
    </w:p>
    <w:p>
      <w:pPr>
        <w:spacing w:line="336" w:lineRule="auto" w:after="180"/>
      </w:pPr>
      <w:r>
        <w:rPr>
          <w:b w:val="0"/>
        </w:rPr>
        <w:t>Student may read student resources; teacher may read both. Unauthenticated requests are denied. | The trusted session remains student; deny teacher guide access. A claimed role cannot change authenticated authority.</w:t>
      </w:r>
    </w:p>
    <w:p>
      <w:pPr>
        <w:spacing w:line="336" w:lineRule="auto" w:after="180"/>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04. Change one thing. Trace what follows.</w:t>
      </w:r>
    </w:p>
    <w:p>
      <w:r>
        <w:drawing>
          <wp:inline xmlns:a="http://schemas.openxmlformats.org/drawingml/2006/main" xmlns:pic="http://schemas.openxmlformats.org/drawingml/2006/picture">
            <wp:extent cx="5486400" cy="3026664"/>
            <wp:docPr id="5" name="Picture 5" descr="Original case: Keep C unchanged; the authenticated volunteer lacks this permission. Changed condition: Use a verified curator permitted to edit C. Expected result: The authorisation gate allows the edit, subject to other declared checks. Reason: The trusted role now matches this operation and object."/>
            <wp:cNvGraphicFramePr>
              <a:graphicFrameLocks noChangeAspect="1"/>
            </wp:cNvGraphicFramePr>
            <a:graphic>
              <a:graphicData uri="http://schemas.openxmlformats.org/drawingml/2006/picture">
                <pic:pic>
                  <pic:nvPicPr>
                    <pic:cNvPr id="0" name="academy-story-ai-6-5-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Keep C unchanged; the authenticated volunteer lacks this permission. Changed condition: Use a verified curator permitted to edit C.</w:t>
      </w:r>
    </w:p>
    <w:p>
      <w:pPr>
        <w:spacing w:line="336" w:lineRule="auto" w:after="180"/>
      </w:pPr>
      <w:r>
        <w:rPr>
          <w:b w:val="0"/>
        </w:rPr>
        <w:t xml:space="preserve">Expected result: The </w:t>
      </w:r>
      <w:r>
        <w:rPr>
          <w:b/>
        </w:rPr>
        <w:t>authorisation</w:t>
      </w:r>
      <w:r>
        <w:rPr>
          <w:b w:val="0"/>
        </w:rPr>
        <w:t xml:space="preserve"> gate allows the edit, subject to other declared checks. Reason: The </w:t>
      </w:r>
      <w:r>
        <w:rPr>
          <w:b/>
        </w:rPr>
        <w:t>trusted role</w:t>
      </w:r>
      <w:r>
        <w:rPr>
          <w:b w:val="0"/>
        </w:rPr>
        <w:t xml:space="preserve"> now matches this operation and object.</w:t>
      </w:r>
    </w:p>
    <w:p>
      <w:pPr>
        <w:spacing w:line="336" w:lineRule="auto" w:after="180"/>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05. Connect the explanation to its limit</w:t>
      </w:r>
    </w:p>
    <w:p>
      <w:r>
        <w:drawing>
          <wp:inline xmlns:a="http://schemas.openxmlformats.org/drawingml/2006/main" xmlns:pic="http://schemas.openxmlformats.org/drawingml/2006/picture">
            <wp:extent cx="5486400" cy="2834640"/>
            <wp:docPr id="6" name="Picture 6" descr="Authentication establishes identity. Authorisation compares that identity with the requested action and resource. Limit: A role written in an ordinary request is not a trusted authentication claim."/>
            <wp:cNvGraphicFramePr>
              <a:graphicFrameLocks noChangeAspect="1"/>
            </wp:cNvGraphicFramePr>
            <a:graphic>
              <a:graphicData uri="http://schemas.openxmlformats.org/drawingml/2006/picture">
                <pic:pic>
                  <pic:nvPicPr>
                    <pic:cNvPr id="0" name="academy-story-ai-6-5-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rPr>
        <w:t>Authentication</w:t>
      </w:r>
      <w:r>
        <w:rPr>
          <w:b w:val="0"/>
        </w:rPr>
        <w:t xml:space="preserve"> establishes identity. </w:t>
      </w:r>
      <w:r>
        <w:rPr>
          <w:b/>
        </w:rPr>
        <w:t>Authorisation</w:t>
      </w:r>
      <w:r>
        <w:rPr>
          <w:b w:val="0"/>
        </w:rPr>
        <w:t xml:space="preserve"> compares that identity with the requested action and resource. Limit: A role written in an ordinary request is not a trusted </w:t>
      </w:r>
      <w:r>
        <w:rPr>
          <w:b/>
        </w:rPr>
        <w:t>authentication</w:t>
      </w:r>
      <w:r>
        <w:rPr>
          <w:b w:val="0"/>
        </w:rPr>
        <w:t xml:space="preserve"> claim.</w:t>
      </w:r>
    </w:p>
    <w:p>
      <w:pPr>
        <w:spacing w:line="336" w:lineRule="auto" w:after="180"/>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06. Make the idea visible in your project</w:t>
      </w:r>
    </w:p>
    <w:p>
      <w:r>
        <w:drawing>
          <wp:inline xmlns:a="http://schemas.openxmlformats.org/drawingml/2006/main" xmlns:pic="http://schemas.openxmlformats.org/drawingml/2006/picture">
            <wp:extent cx="5486400" cy="3529584"/>
            <wp:docPr id="7" name="Picture 7" descr="For the Grounded Learning Service, retain an annotated trace and the changed-case result. Name the contract or evidence that makes the deciding step valid, so another team can review it. Draw your input, deciding step, result and limit. Supported question: Explain why Jo’s valid volunteer login does not permit editing C. Which trusted role change allows the action, and why is a role written in the request insufficient?"/>
            <wp:cNvGraphicFramePr>
              <a:graphicFrameLocks noChangeAspect="1"/>
            </wp:cNvGraphicFramePr>
            <a:graphic>
              <a:graphicData uri="http://schemas.openxmlformats.org/drawingml/2006/picture">
                <pic:pic>
                  <pic:nvPicPr>
                    <pic:cNvPr id="0" name="academy-story-ai-6-5-06.png"/>
                    <pic:cNvPicPr/>
                  </pic:nvPicPr>
                  <pic:blipFill>
                    <a:blip r:embed="rId15"/>
                    <a:stretch>
                      <a:fillRect/>
                    </a:stretch>
                  </pic:blipFill>
                  <pic:spPr>
                    <a:xfrm>
                      <a:off x="0" y="0"/>
                      <a:ext cx="5486400" cy="3529584"/>
                    </a:xfrm>
                    <a:prstGeom prst="rect"/>
                  </pic:spPr>
                </pic:pic>
              </a:graphicData>
            </a:graphic>
          </wp:inline>
        </w:drawing>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spacing w:line="336" w:lineRule="auto" w:after="180"/>
      </w:pPr>
      <w:r>
        <w:rPr>
          <w:b w:val="0"/>
        </w:rPr>
        <w:t xml:space="preserve">Draw your </w:t>
      </w:r>
      <w:r>
        <w:rPr>
          <w:b/>
        </w:rPr>
        <w:t>input</w:t>
      </w:r>
      <w:r>
        <w:rPr>
          <w:b w:val="0"/>
        </w:rPr>
        <w:t>, deciding step, result and limit. Supported question: Explain why Jo’s valid volunteer login does not permit editing C.</w:t>
      </w:r>
    </w:p>
    <w:p>
      <w:pPr>
        <w:spacing w:line="336" w:lineRule="auto" w:after="180"/>
      </w:pPr>
      <w:r>
        <w:rPr>
          <w:b w:val="0"/>
        </w:rPr>
        <w:t xml:space="preserve">Which </w:t>
      </w:r>
      <w:r>
        <w:rPr>
          <w:b/>
        </w:rPr>
        <w:t>trusted role</w:t>
      </w:r>
      <w:r>
        <w:rPr>
          <w:b w:val="0"/>
        </w:rPr>
        <w:t xml:space="preserve"> change allows the action, and why is a role written in the request insufficient?</w:t>
      </w:r>
    </w:p>
    <w:p>
      <w:pPr>
        <w:spacing w:line="336" w:lineRule="auto" w:after="180"/>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01. Authentication and authorisation: the case</w:t>
      </w:r>
    </w:p>
    <w:p>
      <w:pPr>
        <w:pStyle w:val="Heading3"/>
      </w:pPr>
      <w:r>
        <w:t>02. Follow the deciding steps</w:t>
      </w:r>
    </w:p>
    <w:p>
      <w:pPr>
        <w:pStyle w:val="Heading3"/>
      </w:pPr>
      <w:r>
        <w:t>03. Authentication and authorisation — evidence trace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