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ai-6/25</w:t>
      </w:r>
    </w:p>
    <w:p>
      <w:pPr>
        <w:pStyle w:val="Title"/>
      </w:pPr>
      <w:r>
        <w:t>Monitoring quality drift</w:t>
      </w:r>
    </w:p>
    <w:p>
      <w:r>
        <w:t>Project: Grounded Learning Service</w:t>
      </w:r>
    </w:p>
    <w:p>
      <w:pPr>
        <w:pStyle w:val="Heading1"/>
      </w:pPr>
      <w:r>
        <w:t>One complete rate, slice and coverage record.</w:t>
      </w:r>
    </w:p>
    <w:p>
      <w:r>
        <w:t>Keep sampling protocol, counts, denominator, threshold, slice mix, versions and unresolved causes together.</w:t>
      </w:r>
    </w:p>
    <w:p>
      <w:r>
        <w:t>Recall → W1–W3/W5 → independent denominator case → monitoring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Release and rollback</w:t>
      </w:r>
    </w:p>
    <w:p>
      <w:pPr>
        <w:pStyle w:val="ListBullet"/>
      </w:pPr>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Queues and asynchronous work</w:t>
      </w:r>
    </w:p>
    <w:p>
      <w:pPr>
        <w:pStyle w:val="ListBullet"/>
      </w:pPr>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pPr>
        <w:pStyle w:val="ListBullet"/>
      </w:pPr>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Monitoring compares current outcomes with a declared reference and sampling protocol. A change in observed quality may reflect case mix or instrumentation.</w:t>
      </w:r>
    </w:p>
    <w:p>
      <w:pPr>
        <w:pStyle w:val="ListBullet"/>
      </w:pPr>
      <w:r>
        <w:t>For each window report eligible counts, passes, missing outcomes and condition mix. Alert when success falls below the toy 80% threshold; investigate before attributing cause.</w:t>
      </w:r>
    </w:p>
    <w:p>
      <w:pPr>
        <w:pStyle w:val="Heading1"/>
      </w:pPr>
      <w:r>
        <w:t>05. W1 · Explain the current example</w:t>
      </w:r>
    </w:p>
    <w:p>
      <w:r>
        <w:t>Keep this task’s inputs,rule and response together.</w:t>
      </w:r>
    </w:p>
    <w:p>
      <w:pPr>
        <w:pStyle w:val="Heading2"/>
      </w:pPr>
      <w:r>
        <w:t>Complete task and evidence</w:t>
      </w:r>
    </w:p>
    <w:p>
      <w:pPr>
        <w:pStyle w:val="ListBullet"/>
      </w:pPr>
      <w:r>
        <w:t>Monitoring compares outcomes under a declared reference, sampling protocol and rubric. Main complete windows have reference 18/20 = 90% and current 14/20 = 70%, no missing outcomes: down 20 percentage points. Alert strictly below the fictional 80% threshold; equality does not alert. Record eligible counts, passes, failures, missing outcomes and condition mix. Added code protocol reports passes/(passes + observed failures) explicitly; missing outcomes raise a coverage alert and suspend full-window quality decision. Empty slices have unavailable rates, not 0% or 100%. Separate picture clear slice A/B is 18/20 = 90%, 19/20 = 95%; ambiguous is 8/10 = 80%, 4/10 = 40%. Totals 26/30 ≈ 86.7%, 23/30 ≈ 76.7%, down 10 percentage points. If B has no ambiguous questions, report that coverage gap; its clear-only 19/20 total has different case mix. Preserve rubric, version and instrumentation evidence. Small supplied samples show descriptive outcomes, not a stable trend, statistical significance or proven model-caused drift. Code uses constructed counts only.</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Monitoring compares outcomes under a declared reference, sampling protocol and rubric. Main complete windows have reference 18/20 = 90% and current 14/20 = 70%, no missing outcomes: down 20 percentage points. Alert strictly below the fictional 80% threshold; equality does not alert. Record eligible counts, passes, failures, missing outcomes and condition mix. Added code protocol reports passes/(passes + observed failures) explicitly; missing outcomes raise a coverage alert and suspend full-window quality decision. Empty slices have unavailable rates, not 0% or 100%. Separate picture clear slice A/B is 18/20 = 90%, 19/20 = 95%; ambiguous is 8/10 = 80%, 4/10 = 40%. Totals 26/30 ≈ 86.7%, 23/30 ≈ 76.7%, down 10 percentage points. If B has no ambiguous questions, report that coverage gap; its clear-only 19/20 total has different case mix. Preserve rubric, version and instrumentation evidence. Small supplied samples show descriptive outcomes, not a stable trend, statistical significance or proven model-caused drift. Code uses constructed counts only.</w:t>
      </w:r>
    </w:p>
    <w:p>
      <w:pPr>
        <w:pStyle w:val="ListBullet"/>
      </w:pPr>
      <w:r>
        <w:t>Reference window passes 18/20; new window 14/20.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Monitoring compares outcomes under a declared reference, sampling protocol and rubric. Main complete windows have reference 18/20 = 90% and current 14/20 = 70%, no missing outcomes: down 20 percentage points. Alert strictly below the fictional 80% threshold; equality does not alert. Record eligible counts, passes, failures, missing outcomes and condition mix. Added code protocol reports passes/(passes + observed failures) explicitly; missing outcomes raise a coverage alert and suspend full-window quality decision. Empty slices have unavailable rates, not 0% or 100%. Separate picture clear slice A/B is 18/20 = 90%, 19/20 = 95%; ambiguous is 8/10 = 80%, 4/10 = 40%. Totals 26/30 ≈ 86.7%, 23/30 ≈ 76.7%, down 10 percentage points. If B has no ambiguous questions, report that coverage gap; its clear-only 19/20 total has different case mix. Preserve rubric, version and instrumentation evidence. Small supplied samples show descriptive outcomes, not a stable trend, statistical significance or proven model-caused drift. Code uses constructed counts only.</w:t>
      </w:r>
    </w:p>
    <w:p>
      <w:pPr>
        <w:pStyle w:val="ListBullet"/>
      </w:pPr>
      <w:r>
        <w:t>A report omits this qualification: An alert identifies a condition for investigation, not a complete causal explanation.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Monitoring compares outcomes under a declared reference, sampling protocol and rubric. Main complete windows have reference 18/20 = 90% and current 14/20 = 70%, no missing outcomes: down 20 percentage points. Alert strictly below the fictional 80% threshold; equality does not alert. Record eligible counts, passes, failures, missing outcomes and condition mix. Added code protocol reports passes/(passes + observed failures) explicitly; missing outcomes raise a coverage alert and suspend full-window quality decision. Empty slices have unavailable rates, not 0% or 100%. Separate picture clear slice A/B is 18/20 = 90%, 19/20 = 95%; ambiguous is 8/10 = 80%, 4/10 = 40%. Totals 26/30 ≈ 86.7%, 23/30 ≈ 76.7%, down 10 percentage points. If B has no ambiguous questions, report that coverage gap; its clear-only 19/20 total has different case mix. Preserve rubric, version and instrumentation evidence. Small supplied samples show descriptive outcomes, not a stable trend, statistical significance or proven model-caused drift. Code uses constructed counts only.</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Window A passes 8/10; B passes 12/20. Threshold 70%.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Monitoring quality drift.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Monitoring quality drift.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Window A passes 8/10; B passes 12/20. Threshold 70%.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Monitor separate question slices. A service uses the same rubric on clear and ambiguous questions in two recorded weeks.</w:t>
      </w:r>
    </w:p>
    <w:p>
      <w:pPr>
        <w:pStyle w:val="ListBullet"/>
      </w:pPr>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ListBullet"/>
      </w:pPr>
      <w:r>
        <w:t>Compute both clear and ambiguous slice rates for A and B. Which slice weakens, and how should that slice be reported when no ambiguous questions are observed?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Prepare the demonstration. Gather reproducible instructions, evidence, access checks and remaining limitations.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Monitor separate question slices. A service uses the same rubric on clear and ambiguous questions in two recorded weeks.</w:t>
      </w:r>
    </w:p>
    <w:p>
      <w:pPr>
        <w:pStyle w:val="Heading3"/>
      </w:pPr>
      <w:r>
        <w:t>Practice 1: explain the deciding evidence</w:t>
      </w:r>
    </w:p>
    <w:p>
      <w:pPr>
        <w:pStyle w:val="ListBullet"/>
      </w:pPr>
      <w:r>
        <w:t>Which labelled step matches this detail? Inspect that slice’s failures before selecting a repair.</w:t>
      </w:r>
    </w:p>
    <w:p>
      <w:pPr>
        <w:pStyle w:val="ListBullet"/>
      </w:pPr>
      <w:r>
        <w:t>1. Compute totals</w:t>
      </w:r>
    </w:p>
    <w:p>
      <w:pPr>
        <w:pStyle w:val="ListBullet"/>
      </w:pPr>
      <w:r>
        <w:t>2. Investigate ambiguity</w:t>
      </w:r>
    </w:p>
    <w:p>
      <w:pPr>
        <w:pStyle w:val="ListBullet"/>
      </w:pPr>
      <w:r>
        <w:t>3. Compute slice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Investigate ambiguity Inspect that slice’s failures before selecting a repair. Slice monitoring exposes changes hidden by common easy questions.</w:t>
      </w:r>
    </w:p>
    <w:p>
      <w:pPr>
        <w:spacing w:line="336" w:lineRule="auto" w:after="180"/>
      </w:pPr>
      <w:r>
        <w:rPr>
          <w:b w:val="0"/>
        </w:rPr>
        <w:t>Retain each denominator and compare the measurement conditions.</w:t>
      </w:r>
    </w:p>
    <w:p>
      <w:pPr>
        <w:pStyle w:val="Heading2"/>
      </w:pPr>
      <w:r>
        <w:t>Changed-case question and optional hint</w:t>
      </w:r>
    </w:p>
    <w:p>
      <w:pPr>
        <w:pStyle w:val="Heading3"/>
      </w:pPr>
      <w:r>
        <w:t>Practice 2: explain the deciding evidence</w:t>
      </w:r>
    </w:p>
    <w:p>
      <w:pPr>
        <w:pStyle w:val="ListBullet"/>
      </w:pPr>
      <w:r>
        <w:t>Changed-case practice: Week B has no ambiguous questions. Which conclusion is supported by the supplied facts?</w:t>
      </w:r>
    </w:p>
    <w:p>
      <w:pPr>
        <w:pStyle w:val="ListBullet"/>
      </w:pPr>
      <w:r>
        <w:t>1. That slice is unmeasured, not perfectly correct.</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That slice is unmeasured, not perfectly correct. No </w:t>
      </w:r>
      <w:r>
        <w:rPr>
          <w:b/>
        </w:rPr>
        <w:t>observation</w:t>
      </w:r>
      <w:r>
        <w:rPr>
          <w:b w:val="0"/>
        </w:rPr>
        <w:t>s means no rate can be calculated for it.</w:t>
      </w:r>
    </w:p>
    <w:p>
      <w:pPr>
        <w:pStyle w:val="Heading2"/>
      </w:pPr>
      <w:r>
        <w:t>Repair and retain the record</w:t>
      </w:r>
    </w:p>
    <w:p>
      <w:pPr>
        <w:spacing w:line="336" w:lineRule="auto" w:after="180"/>
      </w:pPr>
      <w:r>
        <w:rPr>
          <w:b w:val="0"/>
        </w:rPr>
        <w:t xml:space="preserve">Review Release and rollback (ai-6/24). Goal: Explain the </w:t>
      </w:r>
      <w:r>
        <w:rPr>
          <w:b/>
        </w:rPr>
        <w:t>mechanism</w:t>
      </w:r>
      <w:r>
        <w:rPr>
          <w:b w:val="0"/>
        </w:rPr>
        <w:t xml:space="preserve"> and terminology of release and rollback. Short practice: Compute A’s and B’s correctness percentages.</w:t>
      </w:r>
    </w:p>
    <w:p>
      <w:pPr>
        <w:spacing w:line="336" w:lineRule="auto" w:after="180"/>
      </w:pPr>
      <w:r>
        <w:rPr>
          <w:b w:val="0"/>
        </w:rPr>
        <w:t>Why is B still blocked, and does passing a fresh privacy check automatically satisfy every release gate?. Return to this week and explain what you changed.</w:t>
      </w:r>
    </w:p>
    <w:p>
      <w:pPr>
        <w:spacing w:line="336" w:lineRule="auto" w:after="180"/>
      </w:pPr>
      <w:r>
        <w:rPr>
          <w:b w:val="0"/>
        </w:rPr>
        <w:t xml:space="preserve">Review Queues and asynchronous work (ai-6/22). Goal: Explain the </w:t>
      </w:r>
      <w:r>
        <w:rPr>
          <w:b/>
        </w:rPr>
        <w:t>mechanism</w:t>
      </w:r>
      <w:r>
        <w:rPr>
          <w:b w:val="0"/>
        </w:rPr>
        <w:t xml:space="preserve"> and terminology of queues and asynchronous work. Short practice: Explain what the queued J12 submission response proves and what it does not.</w:t>
      </w:r>
    </w:p>
    <w:p>
      <w:pPr>
        <w:spacing w:line="336" w:lineRule="auto" w:after="180"/>
      </w:pPr>
      <w:r>
        <w:rPr>
          <w:b w:val="0"/>
        </w:rPr>
        <w:t>Which event permits succeeded status, and what status is honest after a worker crash?. Return to this week and explain what you changed.</w:t>
      </w:r>
    </w:p>
    <w:p>
      <w:pPr>
        <w:spacing w:line="336" w:lineRule="auto" w:after="180"/>
      </w:pPr>
      <w:r>
        <w:rPr>
          <w:b w:val="0"/>
        </w:rPr>
        <w:t xml:space="preserve">Review Sandboxing and resource limits (ai-6/19). Goal: Explain the </w:t>
      </w:r>
      <w:r>
        <w:rPr>
          <w:b/>
        </w:rPr>
        <w:t>mechanism</w:t>
      </w:r>
      <w:r>
        <w:rPr>
          <w:b w:val="0"/>
        </w:rPr>
        <w:t xml:space="preserve"> and terminology of sandboxing and resource limits. Short practice: Check A against both resource limits and B against network isolation.</w:t>
      </w:r>
    </w:p>
    <w:p>
      <w:pPr>
        <w:spacing w:line="336" w:lineRule="auto" w:after="180"/>
      </w:pPr>
      <w:r>
        <w:rPr>
          <w:b w:val="0"/>
        </w:rPr>
        <w:t xml:space="preserve">Why must A stop after three seconds even if its </w:t>
      </w:r>
      <w:r>
        <w:rPr>
          <w:b/>
        </w:rPr>
        <w:t>output</w:t>
      </w:r>
      <w:r>
        <w:rPr>
          <w:b w:val="0"/>
        </w:rPr>
        <w:t xml:space="preserve"> remains only 2 MB?.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Monitoring quality drift: the case</w:t>
      </w:r>
    </w:p>
    <w:p>
      <w:r>
        <w:drawing>
          <wp:inline xmlns:a="http://schemas.openxmlformats.org/drawingml/2006/main" xmlns:pic="http://schemas.openxmlformats.org/drawingml/2006/picture">
            <wp:extent cx="5486400" cy="2834640"/>
            <wp:docPr id="3" name="Picture 3" descr="Monitor separate question slices. A service uses the same rubric on clear and ambiguous questions in two recorded weeks. Supplied facts: A: clear 18/20, ambiguous 8/10. B: clear 19/20, ambiguous 4/10."/>
            <wp:cNvGraphicFramePr>
              <a:graphicFrameLocks noChangeAspect="1"/>
            </wp:cNvGraphicFramePr>
            <a:graphic>
              <a:graphicData uri="http://schemas.openxmlformats.org/drawingml/2006/picture">
                <pic:pic>
                  <pic:nvPicPr>
                    <pic:cNvPr id="0" name="academy-story-ai-6-2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Monitor separate question slices. A service uses the same rubric on clear and ambiguous questions in two recorded weeks. Supplied facts: A: clear 18/20, ambiguous 8/10. B: clear 19/20, ambiguous 4/10.</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mpute slice rates: Clear rises 90%→95%; ambiguous falls 80%→40%. → Compute totals: A is 26/30; B is 23/30 correct. → Investigate ambiguity: Inspect that slice’s failures before selecting a repair."/>
            <wp:cNvGraphicFramePr>
              <a:graphicFrameLocks noChangeAspect="1"/>
            </wp:cNvGraphicFramePr>
            <a:graphic>
              <a:graphicData uri="http://schemas.openxmlformats.org/drawingml/2006/picture">
                <pic:pic>
                  <pic:nvPicPr>
                    <pic:cNvPr id="0" name="academy-story-ai-6-2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slice rates: Clear rises 90%→95%; ambiguous falls </w:t>
      </w:r>
      <w:r>
        <w:rPr>
          <w:b/>
        </w:rPr>
        <w:t>80%</w:t>
      </w:r>
      <w:r>
        <w:rPr>
          <w:b w:val="0"/>
        </w:rPr>
        <w:t>→40%. → Compute totals: A is 26/30; B is 23/30 correct. → Investigate ambiguity: Inspect that slice’s failures before selecting a repair.</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Quality slices: retain denominators</w:t>
      </w:r>
    </w:p>
    <w:p>
      <w:r>
        <w:drawing>
          <wp:inline xmlns:a="http://schemas.openxmlformats.org/drawingml/2006/main" xmlns:pic="http://schemas.openxmlformats.org/drawingml/2006/picture">
            <wp:extent cx="5486400" cy="3096768"/>
            <wp:docPr id="5" name="Picture 5" descr="Quality slices: retain denominators. Week A: Clear correct = 18, Clear total = 20, Ambiguous correct = 8, Ambiguous total = 10. Week B: Clear correct = 19, Clear total = 20, Ambiguous correct = 4, Ambiguous total = 10."/>
            <wp:cNvGraphicFramePr>
              <a:graphicFrameLocks noChangeAspect="1"/>
            </wp:cNvGraphicFramePr>
            <a:graphic>
              <a:graphicData uri="http://schemas.openxmlformats.org/drawingml/2006/picture">
                <pic:pic>
                  <pic:nvPicPr>
                    <pic:cNvPr id="0" name="academy-story-ai-6-2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Quality slices: retain denominators. Week A: Clear correct = 18, Clear total = 20, Ambiguous correct = 8, Ambiguous total = 10. Week B: Clear correct = 19, Clear total = 20, Ambiguous correct = 4, Ambiguous total = 10.</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Inspect that slice’s failures before selecting a repair. Changed condition: Week B has no ambiguous questions. Expected result: That slice is unmeasured, not perfectly correct. Reason: No observations means no rate can be calculated for it."/>
            <wp:cNvGraphicFramePr>
              <a:graphicFrameLocks noChangeAspect="1"/>
            </wp:cNvGraphicFramePr>
            <a:graphic>
              <a:graphicData uri="http://schemas.openxmlformats.org/drawingml/2006/picture">
                <pic:pic>
                  <pic:nvPicPr>
                    <pic:cNvPr id="0" name="academy-story-ai-6-2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Inspect that slice’s failures before selecting a repair. Changed condition: Week B has no ambiguous questions. Expected result: That slice is unmeasured, not perfectly correct.</w:t>
      </w:r>
    </w:p>
    <w:p>
      <w:pPr>
        <w:spacing w:line="336" w:lineRule="auto" w:after="180"/>
      </w:pPr>
      <w:r>
        <w:rPr>
          <w:b w:val="0"/>
        </w:rPr>
        <w:t xml:space="preserve">Reason: No </w:t>
      </w:r>
      <w:r>
        <w:rPr>
          <w:b/>
        </w:rPr>
        <w:t>observation</w:t>
      </w:r>
      <w:r>
        <w:rPr>
          <w:b w:val="0"/>
        </w:rPr>
        <w:t>s means no rate can be calculated for it.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Slice monitoring exposes changes hidden by common easy questions. Retain each denominator and compare the measurement conditions. Limit: Small samples do not establish a stable trend or cause; retain uncertainty and compare conditions."/>
            <wp:cNvGraphicFramePr>
              <a:graphicFrameLocks noChangeAspect="1"/>
            </wp:cNvGraphicFramePr>
            <a:graphic>
              <a:graphicData uri="http://schemas.openxmlformats.org/drawingml/2006/picture">
                <pic:pic>
                  <pic:nvPicPr>
                    <pic:cNvPr id="0" name="academy-story-ai-6-2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Slice monitoring exposes changes hidden by common easy questions. Retain each denominator and compare the measurement conditions.</w:t>
      </w:r>
    </w:p>
    <w:p>
      <w:pPr>
        <w:spacing w:line="336" w:lineRule="auto" w:after="180"/>
      </w:pPr>
      <w:r>
        <w:rPr>
          <w:b w:val="0"/>
        </w:rPr>
        <w:t>Limit: Small samples do not establish a stable trend or cause; retain uncertainty and compare conditions.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ompute both clear and ambiguous slice rates for A and B. Which slice weakens, and how should that slice be reported when no ambiguous questions are observed?"/>
            <wp:cNvGraphicFramePr>
              <a:graphicFrameLocks noChangeAspect="1"/>
            </wp:cNvGraphicFramePr>
            <a:graphic>
              <a:graphicData uri="http://schemas.openxmlformats.org/drawingml/2006/picture">
                <pic:pic>
                  <pic:nvPicPr>
                    <pic:cNvPr id="0" name="academy-story-ai-6-25-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Compute both clear and ambiguous slice rates for A and B.</w:t>
      </w:r>
    </w:p>
    <w:p>
      <w:pPr>
        <w:spacing w:line="336" w:lineRule="auto" w:after="180"/>
      </w:pPr>
      <w:r>
        <w:rPr>
          <w:b w:val="0"/>
        </w:rPr>
        <w:t>Which slice weakens, and how should that slice be reported when no ambiguous questions are observed?</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Monitoring quality drift: the case</w:t>
      </w:r>
    </w:p>
    <w:p>
      <w:pPr>
        <w:pStyle w:val="Heading3"/>
      </w:pPr>
      <w:r>
        <w:t>02. Follow the deciding steps</w:t>
      </w:r>
    </w:p>
    <w:p>
      <w:pPr>
        <w:pStyle w:val="Heading3"/>
      </w:pPr>
      <w:r>
        <w:t>03. Quality slices: retain denominators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