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WORKBOOK · ai-6/28</w:t>
      </w:r>
    </w:p>
    <w:p>
      <w:pPr>
        <w:pStyle w:val="Title"/>
      </w:pPr>
      <w:r>
        <w:t>Accessibility and user feedback</w:t>
      </w:r>
    </w:p>
    <w:p>
      <w:r>
        <w:t>Project: Grounded Learning Service</w:t>
      </w:r>
    </w:p>
    <w:p>
      <w:pPr>
        <w:pStyle w:val="Heading1"/>
      </w:pPr>
      <w:r>
        <w:t>One complete barrier, repair and inspection record.</w:t>
      </w:r>
    </w:p>
    <w:p>
      <w:r>
        <w:t>Keep input contract, meaning, action, relationships, tested conditions and unresolved evaluation evidence together.</w:t>
      </w:r>
    </w:p>
    <w:p>
      <w:r>
        <w:t>Recall → W1–W3/W5 → independent timeout case → accessible-feedback project → delayed return.</w:t>
      </w:r>
    </w:p>
    <w:p>
      <w:pPr>
        <w:pStyle w:val="Heading1"/>
      </w:pPr>
      <w:r>
        <w:t>01. Recall · Retrieve before notes</w:t>
      </w:r>
    </w:p>
    <w:p>
      <w:r>
        <w:t>Keep this task’s inputs,rule and response together.</w:t>
      </w:r>
    </w:p>
    <w:p>
      <w:pPr>
        <w:pStyle w:val="Heading2"/>
      </w:pPr>
      <w:r>
        <w:t>Complete task and evidence</w:t>
      </w:r>
    </w:p>
    <w:p>
      <w:pPr>
        <w:pStyle w:val="ListBullet"/>
      </w:pPr>
      <w:r>
        <w:t>Try the recall before opening notes. Then use a different colour or a labelled second line to correct your explanation.</w:t>
      </w:r>
    </w:p>
    <w:p>
      <w:pPr>
        <w:pStyle w:val="Heading3"/>
      </w:pPr>
      <w:r>
        <w:t>Human escalation workflows</w:t>
      </w:r>
    </w:p>
    <w:p>
      <w:pPr>
        <w:pStyle w:val="ListBullet"/>
      </w:pPr>
      <w:r>
        <w:t>Without opening the old lesson, explain one key idea from Human escalation workflows.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Monitoring quality drift</w:t>
      </w:r>
    </w:p>
    <w:p>
      <w:pPr>
        <w:pStyle w:val="ListBullet"/>
      </w:pPr>
      <w:r>
        <w:t>Without opening the old lesson, explain one key idea from Monitoring quality drift.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Queues and asynchronous work</w:t>
      </w:r>
    </w:p>
    <w:p>
      <w:pPr>
        <w:pStyle w:val="ListBullet"/>
      </w:pPr>
      <w:r>
        <w:t>Without opening the old lesson, explain one key idea from Queues and asynchronous work.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Lesson reference for workbook practice</w:t>
      </w:r>
    </w:p>
    <w:p>
      <w:pPr>
        <w:pStyle w:val="ListBullet"/>
      </w:pPr>
      <w:r>
        <w:t>Use this reference for the original W1–W3 and W5 exercises. The separately named independent case supplies its own changed facts; use those facts for that attempt before feedback.</w:t>
      </w:r>
    </w:p>
    <w:p>
      <w:pPr>
        <w:pStyle w:val="ListBullet"/>
      </w:pPr>
      <w:r>
        <w:t>Accessibility makes information and controls usable across stated needs. Feedback should describe the problem and recovery action without exposing sensitive details.</w:t>
      </w:r>
    </w:p>
    <w:p>
      <w:pPr>
        <w:pStyle w:val="ListBullet"/>
      </w:pPr>
      <w:r>
        <w:t>A form provides visible labels, keyboard access, associated error text and a non-colour status indicator. Test at zoom and with keyboard. Do not treat automated checks as a complete user evaluation.</w:t>
      </w:r>
    </w:p>
    <w:p>
      <w:pPr>
        <w:pStyle w:val="Heading1"/>
      </w:pPr>
      <w:r>
        <w:t>05. W1 · Explain the current example</w:t>
      </w:r>
    </w:p>
    <w:p>
      <w:r>
        <w:t>Keep this task’s inputs,rule and response together.</w:t>
      </w:r>
    </w:p>
    <w:p>
      <w:pPr>
        <w:pStyle w:val="Heading2"/>
      </w:pPr>
      <w:r>
        <w:t>Complete task and evidence</w:t>
      </w:r>
    </w:p>
    <w:p>
      <w:pPr>
        <w:pStyle w:val="ListBullet"/>
      </w:pPr>
      <w:r>
        <w:t>Accessible feedback communicates meaning and supports the next action through usable text, controls and programmatic relationships. Main room-form barrier is a red border with no error text or associated label. Added fictional input rule: one ASCII uppercase letter then one ASCII digit; A1 passes format, a1/A11 fail. Provide visible associated Room ID label, exact error/correction text, associated description/invalid state when needed and keyboard-operable recovery with visible focus. Format acceptance does not mean access, room existence or booking. Separate picture adds “More explanation needed”, a labelled focusable explanation link and exposed status; specify the missing reasoning when possible. Orange without text/labels remains colour-only. The supplied investigation designs/inspects a paper or approved local form with no live service. Record actual keyboard activation, focus, zoom/reflow and relevant assistive-technology checks only when performed; otherwise mark not run. A checker or one keyboard path is not a full accessibility or user evaluation. Preserve permitted non-sensitive inputs and minimized evidence, not secrets or private learner records.</w:t>
      </w:r>
    </w:p>
    <w:p>
      <w:pPr>
        <w:pStyle w:val="ListBullet"/>
      </w:pPr>
      <w:r>
        <w:t>Explain the weekly mechanism in your own words. Use the worked scenario to name its input, decision rule and output.</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06. W2 · Trace the calculation</w:t>
      </w:r>
    </w:p>
    <w:p>
      <w:r>
        <w:t>Keep this task’s inputs,rule and response together.</w:t>
      </w:r>
    </w:p>
    <w:p>
      <w:pPr>
        <w:pStyle w:val="Heading2"/>
      </w:pPr>
      <w:r>
        <w:t>Complete task and evidence</w:t>
      </w:r>
    </w:p>
    <w:p>
      <w:pPr>
        <w:pStyle w:val="ListBullet"/>
      </w:pPr>
      <w:r>
        <w:t>Accessible feedback communicates meaning and supports the next action through usable text, controls and programmatic relationships. Main room-form barrier is a red border with no error text or associated label. Added fictional input rule: one ASCII uppercase letter then one ASCII digit; A1 passes format, a1/A11 fail. Provide visible associated Room ID label, exact error/correction text, associated description/invalid state when needed and keyboard-operable recovery with visible focus. Format acceptance does not mean access, room existence or booking. Separate picture adds “More explanation needed”, a labelled focusable explanation link and exposed status; specify the missing reasoning when possible. Orange without text/labels remains colour-only. The supplied investigation designs/inspects a paper or approved local form with no live service. Record actual keyboard activation, focus, zoom/reflow and relevant assistive-technology checks only when performed; otherwise mark not run. A checker or one keyboard path is not a full accessibility or user evaluation. Preserve permitted non-sensitive inputs and minimized evidence, not secrets or private learner records.</w:t>
      </w:r>
    </w:p>
    <w:p>
      <w:pPr>
        <w:pStyle w:val="ListBullet"/>
      </w:pPr>
      <w:r>
        <w:t>An invalid room is marked only by a red border; no text error or associated label is provided. Show the intermediate steps and give the conclusion with its scope.</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07. W3 · Repair a misconception</w:t>
      </w:r>
    </w:p>
    <w:p>
      <w:r>
        <w:t>Keep this task’s inputs,rule and response together.</w:t>
      </w:r>
    </w:p>
    <w:p>
      <w:pPr>
        <w:pStyle w:val="Heading2"/>
      </w:pPr>
      <w:r>
        <w:t>Complete task and evidence</w:t>
      </w:r>
    </w:p>
    <w:p>
      <w:pPr>
        <w:pStyle w:val="ListBullet"/>
      </w:pPr>
      <w:r>
        <w:t>Accessible feedback communicates meaning and supports the next action through usable text, controls and programmatic relationships. Main room-form barrier is a red border with no error text or associated label. Added fictional input rule: one ASCII uppercase letter then one ASCII digit; A1 passes format, a1/A11 fail. Provide visible associated Room ID label, exact error/correction text, associated description/invalid state when needed and keyboard-operable recovery with visible focus. Format acceptance does not mean access, room existence or booking. Separate picture adds “More explanation needed”, a labelled focusable explanation link and exposed status; specify the missing reasoning when possible. Orange without text/labels remains colour-only. The supplied investigation designs/inspects a paper or approved local form with no live service. Record actual keyboard activation, focus, zoom/reflow and relevant assistive-technology checks only when performed; otherwise mark not run. A checker or one keyboard path is not a full accessibility or user evaluation. Preserve permitted non-sensitive inputs and minimized evidence, not secrets or private learner records.</w:t>
      </w:r>
    </w:p>
    <w:p>
      <w:pPr>
        <w:pStyle w:val="ListBullet"/>
      </w:pPr>
      <w:r>
        <w:t>A report omits this qualification: Accessibility requirements need real interaction checks and appropriate user feedback; a checklist alone is incomplete. Explain how omitting it could change a reader's interpretation, and write an accurate replacement.</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09. W5 · Explain the limitation</w:t>
      </w:r>
    </w:p>
    <w:p>
      <w:r>
        <w:t>Keep this task’s inputs,rule and response together.</w:t>
      </w:r>
    </w:p>
    <w:p>
      <w:pPr>
        <w:pStyle w:val="Heading2"/>
      </w:pPr>
      <w:r>
        <w:t>Complete task and evidence</w:t>
      </w:r>
    </w:p>
    <w:p>
      <w:pPr>
        <w:pStyle w:val="ListBullet"/>
      </w:pPr>
      <w:r>
        <w:t>Accessible feedback communicates meaning and supports the next action through usable text, controls and programmatic relationships. Main room-form barrier is a red border with no error text or associated label. Added fictional input rule: one ASCII uppercase letter then one ASCII digit; A1 passes format, a1/A11 fail. Provide visible associated Room ID label, exact error/correction text, associated description/invalid state when needed and keyboard-operable recovery with visible focus. Format acceptance does not mean access, room existence or booking. Separate picture adds “More explanation needed”, a labelled focusable explanation link and exposed status; specify the missing reasoning when possible. Orange without text/labels remains colour-only. The supplied investigation designs/inspects a paper or approved local form with no live service. Record actual keyboard activation, focus, zoom/reflow and relevant assistive-technology checks only when performed; otherwise mark not run. A checker or one keyboard path is not a full accessibility or user evaluation. Preserve permitted non-sensitive inputs and minimized evidence, not secrets or private learner records.</w:t>
      </w:r>
    </w:p>
    <w:p>
      <w:pPr>
        <w:pStyle w:val="ListBullet"/>
      </w:pPr>
      <w:r>
        <w:t>For the worked scenario, propose one additional case that could reveal a failure, describe its expected outcome before running it, and explain what would need to remain fixed for a fair comparison. Do not reuse W4 as a new final test after receiving feedback.</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04. Try alone · Selected transfer</w:t>
      </w:r>
    </w:p>
    <w:p>
      <w:r>
        <w:t>Keep this task’s inputs,rule and response together.</w:t>
      </w:r>
    </w:p>
    <w:p>
      <w:pPr>
        <w:pStyle w:val="Heading2"/>
      </w:pPr>
      <w:r>
        <w:t>Complete task and evidence</w:t>
      </w:r>
    </w:p>
    <w:p>
      <w:pPr>
        <w:pStyle w:val="Heading3"/>
      </w:pPr>
      <w:r>
        <w:t>Independent case: Apply a new case independently</w:t>
      </w:r>
    </w:p>
    <w:p>
      <w:pPr>
        <w:pStyle w:val="ListBullet"/>
      </w:pPr>
      <w:r>
        <w:t>Submit is mouse-only; timeout replaces the entire form and loses input. Propose two concrete improvements.</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Attempt this case before feedback. Record any help. Earlier examples below are further practice; a case already practised with feedback cannot establish fresh transfer.</w:t>
      </w:r>
    </w:p>
    <w:p>
      <w:pPr>
        <w:pStyle w:val="Heading1"/>
      </w:pPr>
      <w:r>
        <w:t>10. Project · Keep the service evidence</w:t>
      </w:r>
    </w:p>
    <w:p>
      <w:r>
        <w:t>Preserve the contract, inputs, observed outcomes and limits.</w:t>
      </w:r>
    </w:p>
    <w:p>
      <w:pPr>
        <w:pStyle w:val="Heading2"/>
      </w:pPr>
      <w:r>
        <w:t>Complete task and evidence</w:t>
      </w:r>
    </w:p>
    <w:p>
      <w:pPr>
        <w:pStyle w:val="ListBullet"/>
      </w:pPr>
      <w:r>
        <w:t>Add a labelled accessibility and user feedback evidence sheet to Grounded Learning Service. Show how you can explain the mechanism and terminology of accessibility and user feedback. Use the supplied fictional case and keep its inputs, intermediate steps, calculation or prediction, and limitation. Connect this record to last week’s record; a matching answer without a trace is insufficient.</w:t>
      </w:r>
    </w:p>
    <w:p>
      <w:pPr>
        <w:pStyle w:val="Heading3"/>
      </w:pPr>
      <w:r>
        <w:t>My project change, supporting evidence and remaining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11. Feedback · Repair and return</w:t>
      </w:r>
    </w:p>
    <w:p>
      <w:r>
        <w:t>Keep this task’s inputs,rule and response together.</w:t>
      </w:r>
    </w:p>
    <w:p>
      <w:pPr>
        <w:pStyle w:val="Heading2"/>
      </w:pPr>
      <w:r>
        <w:t>Complete task and evidence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w:t>
            </w:r>
          </w:p>
        </w:tc>
        <w:tc>
          <w:tcPr>
            <w:tcW w:type="dxa" w:w="5112"/>
          </w:tcPr>
          <w:p>
            <w:r>
              <w:t>My record</w:t>
            </w:r>
          </w:p>
        </w:tc>
      </w:tr>
      <w:tr>
        <w:tc>
          <w:tcPr>
            <w:tcW w:type="dxa" w:w="5112"/>
          </w:tcPr>
          <w:p>
            <w:r>
              <w:t>Worked alone / hint / model</w:t>
            </w:r>
          </w:p>
        </w:tc>
        <w:tc>
          <w:tcPr>
            <w:tcW w:type="dxa" w:w="5112"/>
          </w:tcPr>
          <w:p>
            <w:r/>
          </w:p>
        </w:tc>
      </w:tr>
      <w:tr>
        <w:tc>
          <w:tcPr>
            <w:tcW w:type="dxa" w:w="5112"/>
          </w:tcPr>
          <w:p>
            <w:r>
              <w:t>First step I repaired and why</w:t>
            </w:r>
          </w:p>
        </w:tc>
        <w:tc>
          <w:tcPr>
            <w:tcW w:type="dxa" w:w="5112"/>
          </w:tcPr>
          <w:p>
            <w:r/>
          </w:p>
        </w:tc>
      </w:tr>
      <w:tr>
        <w:tc>
          <w:tcPr>
            <w:tcW w:type="dxa" w:w="5112"/>
          </w:tcPr>
          <w:p>
            <w:r>
              <w:t>New case checked later; date and result</w:t>
            </w:r>
          </w:p>
        </w:tc>
        <w:tc>
          <w:tcPr>
            <w:tcW w:type="dxa" w:w="5112"/>
          </w:tcPr>
          <w:p>
            <w:r/>
          </w:p>
        </w:tc>
      </w:tr>
      <w:tr>
        <w:tc>
          <w:tcPr>
            <w:tcW w:type="dxa" w:w="5112"/>
          </w:tcPr>
          <w:p>
            <w:r>
              <w:t>What I can now explain without notes</w:t>
            </w:r>
          </w:p>
        </w:tc>
        <w:tc>
          <w:tcPr>
            <w:tcW w:type="dxa" w:w="5112"/>
          </w:tcPr>
          <w:p>
            <w:r/>
          </w:p>
        </w:tc>
      </w:tr>
      <w:tr>
        <w:tc>
          <w:tcPr>
            <w:tcW w:type="dxa" w:w="5112"/>
          </w:tcPr>
          <w:p>
            <w:r>
              <w:t>One remaining question</w:t>
            </w:r>
          </w:p>
        </w:tc>
        <w:tc>
          <w:tcPr>
            <w:tcW w:type="dxa" w:w="5112"/>
          </w:tcPr>
          <w:p>
            <w:r/>
          </w:p>
        </w:tc>
      </w:tr>
    </w:tbl>
    <w:p>
      <w:pPr>
        <w:pStyle w:val="ListBullet"/>
      </w:pPr>
      <w:r>
        <w:t>Revisit this idea with your teacher after a delay. Familiarity is different from explaining and using it on a changed case.</w:t>
      </w:r>
    </w:p>
    <w:p>
      <w:pPr>
        <w:pStyle w:val="Heading1"/>
      </w:pPr>
      <w:r>
        <w:t>Reference bank and extra practice</w:t>
      </w:r>
    </w:p>
    <w:p>
      <w:pPr>
        <w:pStyle w:val="Heading1"/>
      </w:pPr>
      <w:r>
        <w:t>02. Reference · Supported W2 record</w:t>
      </w:r>
    </w:p>
    <w:p>
      <w:r>
        <w:t>Keep this task’s inputs,rule and response together.</w:t>
      </w:r>
    </w:p>
    <w:p>
      <w:pPr>
        <w:pStyle w:val="Heading2"/>
      </w:pPr>
      <w:r>
        <w:t>Complete task and evidence</w:t>
      </w:r>
    </w:p>
    <w:p>
      <w:pPr>
        <w:pStyle w:val="ListBullet"/>
      </w:pPr>
      <w:r>
        <w:t>Use W2: Trace the worked case for Accessibility and user feedback. Record the answer once; the lesson and workbook refer to the same attempt.</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Given inputs</w:t>
            </w:r>
          </w:p>
        </w:tc>
        <w:tc>
          <w:tcPr>
            <w:tcW w:type="dxa" w:w="2556"/>
          </w:tcPr>
          <w:p>
            <w:r>
              <w:t>Procedure I chose</w:t>
            </w:r>
          </w:p>
        </w:tc>
        <w:tc>
          <w:tcPr>
            <w:tcW w:type="dxa" w:w="2556"/>
          </w:tcPr>
          <w:p>
            <w:r>
              <w:t>Middle steps</w:t>
            </w:r>
          </w:p>
        </w:tc>
        <w:tc>
          <w:tcPr>
            <w:tcW w:type="dxa" w:w="2556"/>
          </w:tcPr>
          <w:p>
            <w:r>
              <w:t>Result and check</w:t>
            </w:r>
          </w:p>
        </w:tc>
      </w:tr>
      <w:tr>
        <w:tc>
          <w:tcPr>
            <w:tcW w:type="dxa" w:w="2556"/>
          </w:tcPr>
          <w:p>
            <w:r/>
          </w:p>
        </w:tc>
        <w:tc>
          <w:tcPr>
            <w:tcW w:type="dxa" w:w="2556"/>
          </w:tcPr>
          <w:p>
            <w:r/>
          </w:p>
        </w:tc>
        <w:tc>
          <w:tcPr>
            <w:tcW w:type="dxa" w:w="2556"/>
          </w:tcPr>
          <w:p>
            <w:r/>
          </w:p>
        </w:tc>
        <w:tc>
          <w:tcPr>
            <w:tcW w:type="dxa" w:w="2556"/>
          </w:tcPr>
          <w:p>
            <w:r/>
          </w:p>
        </w:tc>
      </w:tr>
    </w:tbl>
    <w:p>
      <w:pPr>
        <w:pStyle w:val="Heading3"/>
      </w:pPr>
      <w:r>
        <w:t>The step I completed without help, and the hint I needed</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03. Extra practice · Individual reasoning check</w:t>
      </w:r>
    </w:p>
    <w:p>
      <w:r>
        <w:t>Keep this task’s inputs,rule and response together.</w:t>
      </w:r>
    </w:p>
    <w:p>
      <w:pPr>
        <w:pStyle w:val="Heading2"/>
      </w:pPr>
      <w:r>
        <w:t>Complete task and evidence</w:t>
      </w:r>
    </w:p>
    <w:p>
      <w:pPr>
        <w:pStyle w:val="ListBullet"/>
      </w:pPr>
      <w:r>
        <w:t>Use the worked case for Accessibility and user feedback. Proposed explanation: “The worked result establishes every future case”. Decide whether this explanation is supported. Point to the step or supplied fact that decides; explain your repair if needed.</w:t>
      </w:r>
    </w:p>
    <w:p>
      <w:pPr>
        <w:pStyle w:val="Heading3"/>
      </w:pPr>
      <w:r>
        <w:t>My explanation before partner discussion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08. Reference · Earlier W4 response copy</w:t>
      </w:r>
    </w:p>
    <w:p>
      <w:r>
        <w:t>Keep this task’s inputs,rule and response together.</w:t>
      </w:r>
    </w:p>
    <w:p>
      <w:pPr>
        <w:pStyle w:val="Heading2"/>
      </w:pPr>
      <w:r>
        <w:t>Complete task and evidence</w:t>
      </w:r>
    </w:p>
    <w:p>
      <w:pPr>
        <w:pStyle w:val="ListBullet"/>
      </w:pPr>
      <w:r>
        <w:t>Submit is mouse-only; timeout replaces the entire form and loses input. Propose two concrete improvements.</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12. Extra practice · Pictured case</w:t>
      </w:r>
    </w:p>
    <w:p>
      <w:r>
        <w:t>Keep this task’s inputs,rule and response together.</w:t>
      </w:r>
    </w:p>
    <w:p>
      <w:pPr>
        <w:pStyle w:val="Heading2"/>
      </w:pPr>
      <w:r>
        <w:t>Complete task and evidence</w:t>
      </w:r>
    </w:p>
    <w:p>
      <w:pPr>
        <w:pStyle w:val="ListBullet"/>
      </w:pPr>
      <w:r>
        <w:t>Make feedback accessible. An app marks an incomplete answer with a red circle only; a revision adds equivalent text and keyboard access.</w:t>
      </w:r>
    </w:p>
    <w:p>
      <w:pPr>
        <w:pStyle w:val="ListBullet"/>
      </w:pPr>
      <w:r>
        <w:t>New text: "More explanation needed". The next-action link is labelled and focusable; status is exposed to assistive technology.</w:t>
      </w:r>
    </w:p>
    <w:p>
      <w:r>
        <w:drawing>
          <wp:inline xmlns:a="http://schemas.openxmlformats.org/drawingml/2006/main" xmlns:pic="http://schemas.openxmlformats.org/drawingml/2006/picture">
            <wp:extent cx="5486400" cy="5185229"/>
            <wp:docPr id="1" name="Picture 1" descr="Accessibility and user feedback. Find the barrier: Colour alone may not communicate the status to every learner.. Provide meaning: Text and programmatic status explain the same result.. Test next action: A keyboard user can reach the labelled explanation link."/>
            <wp:cNvGraphicFramePr>
              <a:graphicFrameLocks noChangeAspect="1"/>
            </wp:cNvGraphicFramePr>
            <a:graphic>
              <a:graphicData uri="http://schemas.openxmlformats.org/drawingml/2006/picture">
                <pic:pic>
                  <pic:nvPicPr>
                    <pic:cNvPr id="0" name="academy-visual-ai-6-28.png"/>
                    <pic:cNvPicPr/>
                  </pic:nvPicPr>
                  <pic:blipFill>
                    <a:blip r:embed="rId9"/>
                    <a:stretch>
                      <a:fillRect/>
                    </a:stretch>
                  </pic:blipFill>
                  <pic:spPr>
                    <a:xfrm>
                      <a:off x="0" y="0"/>
                      <a:ext cx="5486400" cy="5185229"/>
                    </a:xfrm>
                    <a:prstGeom prst="rect"/>
                  </pic:spPr>
                </pic:pic>
              </a:graphicData>
            </a:graphic>
          </wp:inline>
        </w:drawing>
      </w:r>
    </w:p>
    <w:p>
      <w:pPr>
        <w:pStyle w:val="ListBullet"/>
      </w:pPr>
      <w:r>
        <w:t>Explain what each text, keyboard and assistive-technology change adds to the feedback. Why does changing the red circle to orange alone not solve the communication barrier?</w:t>
      </w:r>
    </w:p>
    <w:p>
      <w:pPr>
        <w:pStyle w:val="Heading3"/>
      </w:pPr>
      <w:r>
        <w:t>My picture-based explanation and changed-case prediction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Support used: alone / hint / worked example. This record is practice evidence.</w:t>
      </w:r>
    </w:p>
    <w:p>
      <w:pPr>
        <w:pStyle w:val="ListBullet"/>
      </w:pPr>
      <w:r>
        <w:t>Project connection: For the Grounded Learning Service, retain an annotated trace and the changed-case result. Name the contract or evidence that makes the deciding step valid, so another team can review it.</w:t>
      </w:r>
    </w:p>
    <w:p>
      <w:pPr>
        <w:pStyle w:val="Heading1"/>
      </w:pPr>
      <w:r>
        <w:t>13. Reference · Project milestone</w:t>
      </w:r>
    </w:p>
    <w:p>
      <w:r>
        <w:t>Keep this task’s inputs,rule and response together.</w:t>
      </w:r>
    </w:p>
    <w:p>
      <w:pPr>
        <w:pStyle w:val="Heading2"/>
      </w:pPr>
      <w:r>
        <w:t>Complete task and evidence</w:t>
      </w:r>
    </w:p>
    <w:p>
      <w:pPr>
        <w:pStyle w:val="ListBullet"/>
      </w:pPr>
      <w:r>
        <w:t>Project: Grounded Learning Service</w:t>
      </w:r>
    </w:p>
    <w:p>
      <w:pPr>
        <w:pStyle w:val="ListBullet"/>
      </w:pPr>
      <w:r>
        <w:t>Current milestone: Prepare the demonstration. Gather reproducible instructions, evidence, access checks and remaining limitations.</w:t>
      </w:r>
    </w:p>
    <w:p>
      <w:pPr>
        <w:pStyle w:val="ListBullet"/>
      </w:pPr>
      <w:r>
        <w:t>For the Grounded Learning Service, retain an annotated trace and the changed-case result. Name the contract or evidence that makes the deciding step valid, so another team can review it.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 to keep</w:t>
            </w:r>
          </w:p>
        </w:tc>
        <w:tc>
          <w:tcPr>
            <w:tcW w:type="dxa" w:w="5112"/>
          </w:tcPr>
          <w:p>
            <w:r>
              <w:t>My record</w:t>
            </w:r>
          </w:p>
        </w:tc>
      </w:tr>
      <w:tr>
        <w:tc>
          <w:tcPr>
            <w:tcW w:type="dxa" w:w="5112"/>
          </w:tcPr>
          <w:p>
            <w:r>
              <w:t>This week’s input and deciding step</w:t>
            </w:r>
          </w:p>
        </w:tc>
        <w:tc>
          <w:tcPr>
            <w:tcW w:type="dxa" w:w="5112"/>
          </w:tcPr>
          <w:p>
            <w:r/>
          </w:p>
        </w:tc>
      </w:tr>
      <w:tr>
        <w:tc>
          <w:tcPr>
            <w:tcW w:type="dxa" w:w="5112"/>
          </w:tcPr>
          <w:p>
            <w:r>
              <w:t>Prediction and actual result (or labelled paper trace)</w:t>
            </w:r>
          </w:p>
        </w:tc>
        <w:tc>
          <w:tcPr>
            <w:tcW w:type="dxa" w:w="5112"/>
          </w:tcPr>
          <w:p>
            <w:r/>
          </w:p>
        </w:tc>
      </w:tr>
      <w:tr>
        <w:tc>
          <w:tcPr>
            <w:tcW w:type="dxa" w:w="5112"/>
          </w:tcPr>
          <w:p>
            <w:r>
              <w:t>One change since the previous checkpoint and why</w:t>
            </w:r>
          </w:p>
        </w:tc>
        <w:tc>
          <w:tcPr>
            <w:tcW w:type="dxa" w:w="5112"/>
          </w:tcPr>
          <w:p>
            <w:r/>
          </w:p>
        </w:tc>
      </w:tr>
      <w:tr>
        <w:tc>
          <w:tcPr>
            <w:tcW w:type="dxa" w:w="5112"/>
          </w:tcPr>
          <w:p>
            <w:r>
              <w:t>One error or limit and the next test</w:t>
            </w:r>
          </w:p>
        </w:tc>
        <w:tc>
          <w:tcPr>
            <w:tcW w:type="dxa" w:w="5112"/>
          </w:tcPr>
          <w:p>
            <w:r/>
          </w:p>
        </w:tc>
      </w:tr>
    </w:tbl>
    <w:p>
      <w:pPr>
        <w:pStyle w:val="Heading3"/>
      </w:pPr>
      <w:r>
        <w:t>Explain what this week adds to your project. Reuse last week’s record rather than starting again.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14. Extra practice · Predict,check and repair</w:t>
      </w:r>
    </w:p>
    <w:p>
      <w:r>
        <w:t>Keep supported feedback separate from the independent case.</w:t>
      </w:r>
    </w:p>
    <w:p>
      <w:pPr>
        <w:pStyle w:val="Heading2"/>
      </w:pPr>
      <w:r>
        <w:t>First supported question and optional hint</w:t>
      </w:r>
    </w:p>
    <w:p>
      <w:pPr>
        <w:pStyle w:val="ListBullet"/>
      </w:pPr>
      <w:r>
        <w:t>Make feedback accessible. An app marks an incomplete answer with a red circle only; a revision adds equivalent text and keyboard access.</w:t>
      </w:r>
    </w:p>
    <w:p>
      <w:pPr>
        <w:pStyle w:val="Heading3"/>
      </w:pPr>
      <w:r>
        <w:t>Practice 1: explain the deciding evidence</w:t>
      </w:r>
    </w:p>
    <w:p>
      <w:pPr>
        <w:pStyle w:val="ListBullet"/>
      </w:pPr>
      <w:r>
        <w:t>Which labelled step matches this detail? A keyboard user can reach the labelled explanation link.</w:t>
      </w:r>
    </w:p>
    <w:p>
      <w:pPr>
        <w:pStyle w:val="ListBullet"/>
      </w:pPr>
      <w:r>
        <w:t>1. Provide meaning</w:t>
      </w:r>
    </w:p>
    <w:p>
      <w:pPr>
        <w:pStyle w:val="ListBullet"/>
      </w:pPr>
      <w:r>
        <w:t>2. Find the barrier</w:t>
      </w:r>
    </w:p>
    <w:p>
      <w:pPr>
        <w:pStyle w:val="ListBullet"/>
      </w:pPr>
      <w:r>
        <w:t>3. Test next action</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Read the steps in the pictorial case. Match the supplied detail to the stage that performs or records it.</w:t>
      </w:r>
    </w:p>
    <w:p>
      <w:pPr>
        <w:pStyle w:val="Heading2"/>
      </w:pPr>
      <w:r>
        <w:t>Check after the first attempt · reference / check after trying</w:t>
      </w:r>
    </w:p>
    <w:p>
      <w:pPr>
        <w:spacing w:line="336" w:lineRule="auto" w:after="180"/>
      </w:pPr>
      <w:r>
        <w:rPr>
          <w:b w:val="0"/>
        </w:rPr>
        <w:t>After your attempt, compare with the supported explanation: Test next action A keyboard user can reach the labelled explanation link. Accessibility offers the same meaning and actions through usable channels.</w:t>
      </w:r>
    </w:p>
    <w:p>
      <w:pPr>
        <w:spacing w:line="336" w:lineRule="auto" w:after="180"/>
      </w:pPr>
      <w:r>
        <w:rPr>
          <w:b w:val="0"/>
        </w:rPr>
        <w:t>Feedback should say what to improve, not merely show a mark.</w:t>
      </w:r>
    </w:p>
    <w:p>
      <w:pPr>
        <w:pStyle w:val="Heading2"/>
      </w:pPr>
      <w:r>
        <w:t>Changed-case question and optional hint</w:t>
      </w:r>
    </w:p>
    <w:p>
      <w:pPr>
        <w:pStyle w:val="Heading3"/>
      </w:pPr>
      <w:r>
        <w:t>Practice 2: explain the deciding evidence</w:t>
      </w:r>
    </w:p>
    <w:p>
      <w:pPr>
        <w:pStyle w:val="ListBullet"/>
      </w:pPr>
      <w:r>
        <w:t>Changed-case practice: Change the circle to orange without labels. Which conclusion is supported by the supplied facts?</w:t>
      </w:r>
    </w:p>
    <w:p>
      <w:pPr>
        <w:pStyle w:val="ListBullet"/>
      </w:pPr>
      <w:r>
        <w:t>1. This one example guarantees correct results for every future input.</w:t>
      </w:r>
    </w:p>
    <w:p>
      <w:pPr>
        <w:pStyle w:val="ListBullet"/>
      </w:pPr>
      <w:r>
        <w:t>2. The colour-only communication barrier remains.</w:t>
      </w:r>
    </w:p>
    <w:p>
      <w:pPr>
        <w:pStyle w:val="ListBullet"/>
      </w:pPr>
      <w:r>
        <w:t>3. We can decide the result without examining the changed input or the procedure.</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Use the changed condition and the deciding step in the pictorial trace. The answer must say what follows from those facts.</w:t>
      </w:r>
    </w:p>
    <w:p>
      <w:pPr>
        <w:pStyle w:val="Heading2"/>
      </w:pPr>
      <w:r>
        <w:t>Check after the changed attempt · reference / check after trying</w:t>
      </w:r>
    </w:p>
    <w:p>
      <w:pPr>
        <w:spacing w:line="336" w:lineRule="auto" w:after="180"/>
      </w:pPr>
      <w:r>
        <w:rPr>
          <w:b w:val="0"/>
        </w:rPr>
        <w:t>After your attempt, compare with the supported explanation: The colour-only communication barrier remains. A different hue supplies no textual or programmatic equivalent.</w:t>
      </w:r>
    </w:p>
    <w:p>
      <w:pPr>
        <w:pStyle w:val="Heading2"/>
      </w:pPr>
      <w:r>
        <w:t>Repair and retain the record</w:t>
      </w:r>
    </w:p>
    <w:p>
      <w:pPr>
        <w:spacing w:line="336" w:lineRule="auto" w:after="180"/>
      </w:pPr>
      <w:r>
        <w:rPr>
          <w:b w:val="0"/>
        </w:rPr>
        <w:t xml:space="preserve">Review Human escalation workflows (ai-6/27). Goal: Explain the </w:t>
      </w:r>
      <w:r>
        <w:rPr>
          <w:b/>
        </w:rPr>
        <w:t>mechanism</w:t>
      </w:r>
      <w:r>
        <w:rPr>
          <w:b w:val="0"/>
        </w:rPr>
        <w:t xml:space="preserve"> and terminology of human escalation workflows. Short practice: Identify the exact service boundary in the bottle question.</w:t>
      </w:r>
    </w:p>
    <w:p>
      <w:pPr>
        <w:spacing w:line="336" w:lineRule="auto" w:after="180"/>
      </w:pPr>
      <w:r>
        <w:rPr>
          <w:b w:val="0"/>
        </w:rPr>
        <w:t>What accurate information belongs in the supervisor handoff, and what remains unresolved if nobody is reachable?. Return to this week and explain what you changed.</w:t>
      </w:r>
    </w:p>
    <w:p>
      <w:pPr>
        <w:spacing w:line="336" w:lineRule="auto" w:after="180"/>
      </w:pPr>
      <w:r>
        <w:rPr>
          <w:b w:val="0"/>
        </w:rPr>
        <w:t xml:space="preserve">Review Monitoring quality drift (ai-6/25). Goal: Explain the </w:t>
      </w:r>
      <w:r>
        <w:rPr>
          <w:b/>
        </w:rPr>
        <w:t>mechanism</w:t>
      </w:r>
      <w:r>
        <w:rPr>
          <w:b w:val="0"/>
        </w:rPr>
        <w:t xml:space="preserve"> and terminology of monitoring quality drift. Short practice: Compute both clear and ambiguous slice rates for A and B.</w:t>
      </w:r>
    </w:p>
    <w:p>
      <w:pPr>
        <w:spacing w:line="336" w:lineRule="auto" w:after="180"/>
      </w:pPr>
      <w:r>
        <w:rPr>
          <w:b w:val="0"/>
        </w:rPr>
        <w:t>Which slice weakens, and how should that slice be reported when no ambiguous questions are observed?. Return to this week and explain what you changed.</w:t>
      </w:r>
    </w:p>
    <w:p>
      <w:pPr>
        <w:spacing w:line="336" w:lineRule="auto" w:after="180"/>
      </w:pPr>
      <w:r>
        <w:rPr>
          <w:b w:val="0"/>
        </w:rPr>
        <w:t xml:space="preserve">Review Queues and asynchronous work (ai-6/22). Goal: Explain the </w:t>
      </w:r>
      <w:r>
        <w:rPr>
          <w:b/>
        </w:rPr>
        <w:t>mechanism</w:t>
      </w:r>
      <w:r>
        <w:rPr>
          <w:b w:val="0"/>
        </w:rPr>
        <w:t xml:space="preserve"> and terminology of queues and asynchronous work. Short practice: Explain what the queued J12 submission response proves and what it does not.</w:t>
      </w:r>
    </w:p>
    <w:p>
      <w:pPr>
        <w:spacing w:line="336" w:lineRule="auto" w:after="180"/>
      </w:pPr>
      <w:r>
        <w:rPr>
          <w:b w:val="0"/>
        </w:rPr>
        <w:t>Which event permits succeeded status, and what status is honest after a worker crash?. Return to this week and explain what you changed.</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3"/>
      </w:pPr>
      <w:r>
        <w:t>What I repaired, the evidence I kept and the next test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spacing w:line="336" w:lineRule="auto" w:after="180"/>
      </w:pPr>
      <w:r>
        <w:rPr>
          <w:b w:val="0"/>
        </w:rPr>
        <w:t>Use this supported practice once, in the browser or on paper. Keep the reserved independent assessment for a separate first attempt before teacher feedback.</w:t>
      </w:r>
    </w:p>
    <w:p>
      <w:pPr>
        <w:pStyle w:val="Heading3"/>
      </w:pPr>
      <w:r>
        <w:t>Repair a missing building block</w:t>
      </w:r>
    </w:p>
    <w:p>
      <w:pPr>
        <w:pStyle w:val="Heading3"/>
      </w:pPr>
      <w:r>
        <w:t>Keep your completed work</w:t>
      </w:r>
    </w:p>
    <w:p>
      <w:pPr>
        <w:pStyle w:val="Heading1"/>
      </w:pPr>
      <w:r>
        <w:t>15. Reference · Six-picture response sheets</w:t>
      </w:r>
    </w:p>
    <w:p>
      <w:r>
        <w:t>Choose the picture that helps explain the current step.</w:t>
      </w:r>
    </w:p>
    <w:p>
      <w:pPr>
        <w:pStyle w:val="Heading2"/>
      </w:pPr>
      <w:r>
        <w:t>01. Accessibility and user feedback: the case</w:t>
      </w:r>
    </w:p>
    <w:p>
      <w:r>
        <w:drawing>
          <wp:inline xmlns:a="http://schemas.openxmlformats.org/drawingml/2006/main" xmlns:pic="http://schemas.openxmlformats.org/drawingml/2006/picture">
            <wp:extent cx="5486400" cy="2834640"/>
            <wp:docPr id="2" name="Picture 2" descr="Make feedback accessible. An app marks an incomplete answer with a red circle only; a revision adds equivalent text and keyboard access. Supplied facts: New text: &quot;More explanation needed&quot;. The next-action link is labelled and focusable; status is exposed to assistive technology."/>
            <wp:cNvGraphicFramePr>
              <a:graphicFrameLocks noChangeAspect="1"/>
            </wp:cNvGraphicFramePr>
            <a:graphic>
              <a:graphicData uri="http://schemas.openxmlformats.org/drawingml/2006/picture">
                <pic:pic>
                  <pic:nvPicPr>
                    <pic:cNvPr id="0" name="academy-story-ai-6-28-01.png"/>
                    <pic:cNvPicPr/>
                  </pic:nvPicPr>
                  <pic:blipFill>
                    <a:blip r:embed="rId10"/>
                    <a:stretch>
                      <a:fillRect/>
                    </a:stretch>
                  </pic:blipFill>
                  <pic:spPr>
                    <a:xfrm>
                      <a:off x="0" y="0"/>
                      <a:ext cx="5486400" cy="2834640"/>
                    </a:xfrm>
                    <a:prstGeom prst="rect"/>
                  </pic:spPr>
                </pic:pic>
              </a:graphicData>
            </a:graphic>
          </wp:inline>
        </w:drawing>
      </w:r>
    </w:p>
    <w:p>
      <w:pPr>
        <w:spacing w:line="336" w:lineRule="auto" w:after="180"/>
      </w:pPr>
      <w:r>
        <w:rPr>
          <w:b w:val="0"/>
        </w:rPr>
        <w:t>Make feedback accessible. An app marks an incomplete answer with a red circle only; a revision adds equivalent text and keyboard access. Supplied facts: New text: "More explanation needed".</w:t>
      </w:r>
    </w:p>
    <w:p>
      <w:pPr>
        <w:spacing w:line="336" w:lineRule="auto" w:after="180"/>
      </w:pPr>
      <w:r>
        <w:rPr>
          <w:b w:val="0"/>
        </w:rPr>
        <w:t>The next-action link is labelled and focusable; status is exposed to assistive technology.</w:t>
      </w:r>
    </w:p>
    <w:p>
      <w:pPr>
        <w:spacing w:line="336" w:lineRule="auto" w:after="180"/>
      </w:pPr>
      <w:r>
        <w:rPr>
          <w:b w:val="0"/>
        </w:rPr>
        <w:t>Point to the given fact that matters most. Explain why it matters.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02. Follow the deciding steps</w:t>
      </w:r>
    </w:p>
    <w:p>
      <w:r>
        <w:drawing>
          <wp:inline xmlns:a="http://schemas.openxmlformats.org/drawingml/2006/main" xmlns:pic="http://schemas.openxmlformats.org/drawingml/2006/picture">
            <wp:extent cx="5486400" cy="3182112"/>
            <wp:docPr id="3" name="Picture 3" descr="Find the barrier: Colour alone may not communicate the status to every learner. → Provide meaning: Text and programmatic status explain the same result. → Test next action: A keyboard user can reach the labelled explanation link."/>
            <wp:cNvGraphicFramePr>
              <a:graphicFrameLocks noChangeAspect="1"/>
            </wp:cNvGraphicFramePr>
            <a:graphic>
              <a:graphicData uri="http://schemas.openxmlformats.org/drawingml/2006/picture">
                <pic:pic>
                  <pic:nvPicPr>
                    <pic:cNvPr id="0" name="academy-story-ai-6-28-02.png"/>
                    <pic:cNvPicPr/>
                  </pic:nvPicPr>
                  <pic:blipFill>
                    <a:blip r:embed="rId11"/>
                    <a:stretch>
                      <a:fillRect/>
                    </a:stretch>
                  </pic:blipFill>
                  <pic:spPr>
                    <a:xfrm>
                      <a:off x="0" y="0"/>
                      <a:ext cx="5486400" cy="3182112"/>
                    </a:xfrm>
                    <a:prstGeom prst="rect"/>
                  </pic:spPr>
                </pic:pic>
              </a:graphicData>
            </a:graphic>
          </wp:inline>
        </w:drawing>
      </w:r>
    </w:p>
    <w:p>
      <w:pPr>
        <w:spacing w:line="336" w:lineRule="auto" w:after="180"/>
      </w:pPr>
      <w:r>
        <w:rPr>
          <w:b w:val="0"/>
        </w:rPr>
        <w:t>Find the barrier: Colour alone may not communicate the status to every learner. → Provide meaning: Text and programmatic status explain the same result. → Test next action: A keyboard user can reach the labelled explanation link.</w:t>
      </w:r>
    </w:p>
    <w:p>
      <w:pPr>
        <w:spacing w:line="336" w:lineRule="auto" w:after="180"/>
      </w:pPr>
      <w:r>
        <w:rPr>
          <w:b w:val="0"/>
        </w:rPr>
        <w:t xml:space="preserve">Point to each numbered stage and explain which recorded </w:t>
      </w:r>
      <w:r>
        <w:rPr>
          <w:b/>
        </w:rPr>
        <w:t>input</w:t>
      </w:r>
      <w:r>
        <w:rPr>
          <w:b w:val="0"/>
        </w:rPr>
        <w:t xml:space="preserve"> it uses.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03. Accessibility and user feedback — evidence trace</w:t>
      </w:r>
    </w:p>
    <w:p>
      <w:r>
        <w:drawing>
          <wp:inline xmlns:a="http://schemas.openxmlformats.org/drawingml/2006/main" xmlns:pic="http://schemas.openxmlformats.org/drawingml/2006/picture">
            <wp:extent cx="5486400" cy="2996184"/>
            <wp:docPr id="4" name="Picture 4" descr="Accessibility and user feedback — evidence trace. An invalid room is marked only by a red border; no text error or associated label is provided. | A form provides visible labels, keyboard access, associated error text and a non-colour status indicator. Test at zoom and with keyboard. Do not treat automated checks as a complete user evaluation. | Colour alone does not communicate the failure to all users. Add labelled error text and an actionable correction; retain keyboard navigation."/>
            <wp:cNvGraphicFramePr>
              <a:graphicFrameLocks noChangeAspect="1"/>
            </wp:cNvGraphicFramePr>
            <a:graphic>
              <a:graphicData uri="http://schemas.openxmlformats.org/drawingml/2006/picture">
                <pic:pic>
                  <pic:nvPicPr>
                    <pic:cNvPr id="0" name="academy-story-ai-6-28-03.png"/>
                    <pic:cNvPicPr/>
                  </pic:nvPicPr>
                  <pic:blipFill>
                    <a:blip r:embed="rId12"/>
                    <a:stretch>
                      <a:fillRect/>
                    </a:stretch>
                  </pic:blipFill>
                  <pic:spPr>
                    <a:xfrm>
                      <a:off x="0" y="0"/>
                      <a:ext cx="5486400" cy="2996184"/>
                    </a:xfrm>
                    <a:prstGeom prst="rect"/>
                  </pic:spPr>
                </pic:pic>
              </a:graphicData>
            </a:graphic>
          </wp:inline>
        </w:drawing>
      </w:r>
    </w:p>
    <w:p>
      <w:pPr>
        <w:spacing w:line="336" w:lineRule="auto" w:after="180"/>
      </w:pPr>
      <w:r>
        <w:rPr>
          <w:b w:val="0"/>
        </w:rPr>
        <w:t xml:space="preserve">Accessibility and user feedback — </w:t>
      </w:r>
      <w:r>
        <w:rPr>
          <w:b/>
        </w:rPr>
        <w:t>evidence</w:t>
      </w:r>
      <w:r>
        <w:rPr>
          <w:b w:val="0"/>
        </w:rPr>
        <w:t xml:space="preserve"> trace.</w:t>
      </w:r>
    </w:p>
    <w:p>
      <w:pPr>
        <w:spacing w:line="336" w:lineRule="auto" w:after="180"/>
      </w:pPr>
      <w:r>
        <w:rPr>
          <w:b w:val="0"/>
        </w:rPr>
        <w:t>An invalid room is marked only by a red border; no text error or associated label is provided. | A form provides visible labels, keyboard access, associated error text and a non-colour status indicator.</w:t>
      </w:r>
    </w:p>
    <w:p>
      <w:pPr>
        <w:spacing w:line="336" w:lineRule="auto" w:after="180"/>
      </w:pPr>
      <w:r>
        <w:rPr>
          <w:b w:val="0"/>
        </w:rPr>
        <w:t>Test at zoom and with keyboard. Do not treat automated checks as a complete user evaluation. | Colour alone does not communicate the failure to all users.</w:t>
      </w:r>
    </w:p>
    <w:p>
      <w:pPr>
        <w:spacing w:line="336" w:lineRule="auto" w:after="180"/>
      </w:pPr>
      <w:r>
        <w:rPr>
          <w:b w:val="0"/>
        </w:rPr>
        <w:t>Add labelled error text and an actionable correction; retain keyboard navigation.</w:t>
      </w:r>
    </w:p>
    <w:p>
      <w:pPr>
        <w:spacing w:line="336" w:lineRule="auto" w:after="180"/>
      </w:pPr>
      <w:r>
        <w:rPr>
          <w:b w:val="0"/>
        </w:rPr>
        <w:t>Read the labels and values. Explain the relationship the model shows.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04. Change one thing. Trace what follows.</w:t>
      </w:r>
    </w:p>
    <w:p>
      <w:r>
        <w:drawing>
          <wp:inline xmlns:a="http://schemas.openxmlformats.org/drawingml/2006/main" xmlns:pic="http://schemas.openxmlformats.org/drawingml/2006/picture">
            <wp:extent cx="5486400" cy="3026664"/>
            <wp:docPr id="5" name="Picture 5" descr="Original case: A keyboard user can reach the labelled explanation link. Changed condition: Change the circle to orange without labels. Expected result: The colour-only communication barrier remains. Reason: A different hue supplies no textual or programmatic equivalent."/>
            <wp:cNvGraphicFramePr>
              <a:graphicFrameLocks noChangeAspect="1"/>
            </wp:cNvGraphicFramePr>
            <a:graphic>
              <a:graphicData uri="http://schemas.openxmlformats.org/drawingml/2006/picture">
                <pic:pic>
                  <pic:nvPicPr>
                    <pic:cNvPr id="0" name="academy-story-ai-6-28-04.png"/>
                    <pic:cNvPicPr/>
                  </pic:nvPicPr>
                  <pic:blipFill>
                    <a:blip r:embed="rId13"/>
                    <a:stretch>
                      <a:fillRect/>
                    </a:stretch>
                  </pic:blipFill>
                  <pic:spPr>
                    <a:xfrm>
                      <a:off x="0" y="0"/>
                      <a:ext cx="5486400" cy="3026664"/>
                    </a:xfrm>
                    <a:prstGeom prst="rect"/>
                  </pic:spPr>
                </pic:pic>
              </a:graphicData>
            </a:graphic>
          </wp:inline>
        </w:drawing>
      </w:r>
    </w:p>
    <w:p>
      <w:pPr>
        <w:spacing w:line="336" w:lineRule="auto" w:after="180"/>
      </w:pPr>
      <w:r>
        <w:rPr>
          <w:b w:val="0"/>
        </w:rPr>
        <w:t>Original case: A keyboard user can reach the labelled explanation link. Changed condition: Change the circle to orange without labels. Expected result: The colour-only communication barrier remains.</w:t>
      </w:r>
    </w:p>
    <w:p>
      <w:pPr>
        <w:spacing w:line="336" w:lineRule="auto" w:after="180"/>
      </w:pPr>
      <w:r>
        <w:rPr>
          <w:b w:val="0"/>
        </w:rPr>
        <w:t>Reason: A different hue supplies no textual or programmatic equivalent.</w:t>
      </w:r>
    </w:p>
    <w:p>
      <w:pPr>
        <w:spacing w:line="336" w:lineRule="auto" w:after="180"/>
      </w:pPr>
      <w:r>
        <w:rPr>
          <w:b w:val="0"/>
        </w:rPr>
        <w:t>Predict before checking the worked changed-case result. Name what changed and what the supplied facts allow you to conclude.</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05. Connect the explanation to its limit</w:t>
      </w:r>
    </w:p>
    <w:p>
      <w:r>
        <w:drawing>
          <wp:inline xmlns:a="http://schemas.openxmlformats.org/drawingml/2006/main" xmlns:pic="http://schemas.openxmlformats.org/drawingml/2006/picture">
            <wp:extent cx="5486400" cy="2834640"/>
            <wp:docPr id="6" name="Picture 6" descr="Accessibility offers the same meaning and actions through usable channels. Feedback should say what to improve, not merely show a mark. Limit: One keyboard check is not a complete accessibility audit; test relevant assistive technologies and gather user feedback."/>
            <wp:cNvGraphicFramePr>
              <a:graphicFrameLocks noChangeAspect="1"/>
            </wp:cNvGraphicFramePr>
            <a:graphic>
              <a:graphicData uri="http://schemas.openxmlformats.org/drawingml/2006/picture">
                <pic:pic>
                  <pic:nvPicPr>
                    <pic:cNvPr id="0" name="academy-story-ai-6-28-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val="0"/>
        </w:rPr>
        <w:t>Accessibility offers the same meaning and actions through usable channels. Feedback should say what to improve, not merely show a mark.</w:t>
      </w:r>
    </w:p>
    <w:p>
      <w:pPr>
        <w:spacing w:line="336" w:lineRule="auto" w:after="180"/>
      </w:pPr>
      <w:r>
        <w:rPr>
          <w:b w:val="0"/>
        </w:rPr>
        <w:t>Limit: One keyboard check is not a complete accessibility audit; test relevant assistive technologies and gather user feedback.</w:t>
      </w:r>
    </w:p>
    <w:p>
      <w:pPr>
        <w:spacing w:line="336" w:lineRule="auto" w:after="180"/>
      </w:pPr>
      <w:r>
        <w:rPr>
          <w:b w:val="0"/>
        </w:rPr>
        <w:t>Explain the case, then point to a limit on the claim.</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06. Make the idea visible in your project</w:t>
      </w:r>
    </w:p>
    <w:p>
      <w:r>
        <w:drawing>
          <wp:inline xmlns:a="http://schemas.openxmlformats.org/drawingml/2006/main" xmlns:pic="http://schemas.openxmlformats.org/drawingml/2006/picture">
            <wp:extent cx="5486400" cy="3529584"/>
            <wp:docPr id="7" name="Picture 7" descr="For the Grounded Learning Service, retain an annotated trace and the changed-case result. Name the contract or evidence that makes the deciding step valid, so another team can review it. Draw your input, deciding step, result and limit. Supported question: Explain what each text, keyboard and assistive-technology change adds to the feedback. Why does changing the red circle to orange alone not solve the communication barrier?"/>
            <wp:cNvGraphicFramePr>
              <a:graphicFrameLocks noChangeAspect="1"/>
            </wp:cNvGraphicFramePr>
            <a:graphic>
              <a:graphicData uri="http://schemas.openxmlformats.org/drawingml/2006/picture">
                <pic:pic>
                  <pic:nvPicPr>
                    <pic:cNvPr id="0" name="academy-story-ai-6-28-06.png"/>
                    <pic:cNvPicPr/>
                  </pic:nvPicPr>
                  <pic:blipFill>
                    <a:blip r:embed="rId15"/>
                    <a:stretch>
                      <a:fillRect/>
                    </a:stretch>
                  </pic:blipFill>
                  <pic:spPr>
                    <a:xfrm>
                      <a:off x="0" y="0"/>
                      <a:ext cx="5486400" cy="3529584"/>
                    </a:xfrm>
                    <a:prstGeom prst="rect"/>
                  </pic:spPr>
                </pic:pic>
              </a:graphicData>
            </a:graphic>
          </wp:inline>
        </w:drawing>
      </w:r>
    </w:p>
    <w:p>
      <w:pPr>
        <w:spacing w:line="336" w:lineRule="auto" w:after="180"/>
      </w:pPr>
      <w:r>
        <w:rPr>
          <w:b w:val="0"/>
        </w:rPr>
        <w:t xml:space="preserve">For the Grounded Learning Service, retain an annotated trace and the changed-case result. Name the contract or </w:t>
      </w:r>
      <w:r>
        <w:rPr>
          <w:b/>
        </w:rPr>
        <w:t>evidence</w:t>
      </w:r>
      <w:r>
        <w:rPr>
          <w:b w:val="0"/>
        </w:rPr>
        <w:t xml:space="preserve"> that makes the deciding step valid, so another team can review it.</w:t>
      </w:r>
    </w:p>
    <w:p>
      <w:pPr>
        <w:spacing w:line="336" w:lineRule="auto" w:after="180"/>
      </w:pPr>
      <w:r>
        <w:rPr>
          <w:b w:val="0"/>
        </w:rPr>
        <w:t xml:space="preserve">Draw your </w:t>
      </w:r>
      <w:r>
        <w:rPr>
          <w:b/>
        </w:rPr>
        <w:t>input</w:t>
      </w:r>
      <w:r>
        <w:rPr>
          <w:b w:val="0"/>
        </w:rPr>
        <w:t>, deciding step, result and limit. Supported question: Explain what each text, keyboard and assistive-technology change adds to the feedback.</w:t>
      </w:r>
    </w:p>
    <w:p>
      <w:pPr>
        <w:spacing w:line="336" w:lineRule="auto" w:after="180"/>
      </w:pPr>
      <w:r>
        <w:rPr>
          <w:b w:val="0"/>
        </w:rPr>
        <w:t>Why does changing the red circle to orange alone not solve the communication barrier?</w:t>
      </w:r>
    </w:p>
    <w:p>
      <w:pPr>
        <w:spacing w:line="336" w:lineRule="auto" w:after="180"/>
      </w:pPr>
      <w:r>
        <w:rPr>
          <w:b w:val="0"/>
        </w:rPr>
        <w:t xml:space="preserve">Draw your project trace and justify the deciding step using </w:t>
      </w:r>
      <w:r>
        <w:rPr>
          <w:b/>
        </w:rPr>
        <w:t>evidence</w:t>
      </w:r>
      <w:r>
        <w:rPr>
          <w:b w:val="0"/>
        </w:rPr>
        <w:t>.</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pStyle w:val="Heading3"/>
      </w:pPr>
      <w:r>
        <w:t>01. Accessibility and user feedback: the case</w:t>
      </w:r>
    </w:p>
    <w:p>
      <w:pPr>
        <w:pStyle w:val="Heading3"/>
      </w:pPr>
      <w:r>
        <w:t>02. Follow the deciding steps</w:t>
      </w:r>
    </w:p>
    <w:p>
      <w:pPr>
        <w:pStyle w:val="Heading3"/>
      </w:pPr>
      <w:r>
        <w:t>03. Accessibility and user feedback — evidence trace</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