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ai-6/30</w:t>
      </w:r>
    </w:p>
    <w:p>
      <w:pPr>
        <w:pStyle w:val="Title"/>
      </w:pPr>
      <w:r>
        <w:t>Security and privacy review</w:t>
      </w:r>
    </w:p>
    <w:p>
      <w:r>
        <w:t>Project: Grounded Learning Service</w:t>
      </w:r>
    </w:p>
    <w:p>
      <w:pPr>
        <w:pStyle w:val="Heading1"/>
      </w:pPr>
      <w:r>
        <w:t>One complete asset, actor and return-path record.</w:t>
      </w:r>
    </w:p>
    <w:p>
      <w:r>
        <w:t>Keep data-flow map, trusted permission, denied traces, minimized fields and remaining review gaps together.</w:t>
      </w:r>
    </w:p>
    <w:p>
      <w:r>
        <w:t>Recall → W1–W3/W5 → independent export case → privacy path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Performance and cost experiments</w:t>
      </w:r>
    </w:p>
    <w:p>
      <w:pPr>
        <w:pStyle w:val="ListBullet"/>
      </w:pPr>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escalation workflows</w:t>
      </w:r>
    </w:p>
    <w:p>
      <w:pPr>
        <w:pStyle w:val="ListBullet"/>
      </w:pPr>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pPr>
        <w:pStyle w:val="ListBullet"/>
      </w:pPr>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Security and privacy review checks assets, actors, data flows and permissions against explicit threats. A clean happy path does not test misuse.</w:t>
      </w:r>
    </w:p>
    <w:p>
      <w:pPr>
        <w:pStyle w:val="ListBullet"/>
      </w:pPr>
      <w:r>
        <w:t>For the classroom service identify restricted guides, session secrets and student content. Test denied roles, unexpected fields, source injection and minimised logging without real credentials.</w:t>
      </w:r>
    </w:p>
    <w:p>
      <w:pPr>
        <w:pStyle w:val="Heading1"/>
      </w:pPr>
      <w:r>
        <w:t>05. W1 · Explain the current example</w:t>
      </w:r>
    </w:p>
    <w:p>
      <w:r>
        <w:t>Keep this task’s inputs,rule and response together.</w:t>
      </w:r>
    </w:p>
    <w:p>
      <w:pPr>
        <w:pStyle w:val="Heading2"/>
      </w:pPr>
      <w:r>
        <w:t>Complete task and evidence</w:t>
      </w:r>
    </w:p>
    <w:p>
      <w:pPr>
        <w:pStyle w:val="ListBullet"/>
      </w:pPr>
      <w:r>
        <w:t>Security/privacy review maps assets, actors, actions, data flows and threats. Main G1 guide has an obvious fictional restricted marker; teacher-1 may read, learner-1 may not. A direct denial is insufficient if a query-only student-accessible cache stores/returns the guide. Both repaired direct/cache paths use trusted actor permission before lookup/context; learner denies with empty read trace, teacher allows. Request schema is exactly resource_id; role claims reject, unknown actors deny. Separate N1 note text belongs to learner-1 and assigned teacher-1 only; teacher-2 denies. Picture analytics needs revision counts, not private notes: two allowed revision-kind events yield revision_count 2, and a full-note event rejects. No note text or learner IDs are sent in that packet, yet tiny-group counts may remain identifying. Check linkability, readers and retention separately. Source instructions cannot grant authority, and happy-path checks do not test all misuse. Code uses copied fictional records/markers and no real secrets/accounts. It does not test all injection, retention or unlisted routes and provides no complete security/anonymity guarantee.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Security/privacy review maps assets, actors, actions, data flows and threats. Main G1 guide has an obvious fictional restricted marker; teacher-1 may read, learner-1 may not. A direct denial is insufficient if a query-only student-accessible cache stores/returns the guide. Both repaired direct/cache paths use trusted actor permission before lookup/context; learner denies with empty read trace, teacher allows. Request schema is exactly resource_id; role claims reject, unknown actors deny. Separate N1 note text belongs to learner-1 and assigned teacher-1 only; teacher-2 denies. Picture analytics needs revision counts, not private notes: two allowed revision-kind events yield revision_count 2, and a full-note event rejects. No note text or learner IDs are sent in that packet, yet tiny-group counts may remain identifying. Check linkability, readers and retention separately. Source instructions cannot grant authority, and happy-path checks do not test all misuse. Code uses copied fictional records/markers and no real secrets/accounts. It does not test all injection, retention or unlisted routes and provides no complete security/anonymity guarantee.</w:t>
      </w:r>
    </w:p>
    <w:p>
      <w:pPr>
        <w:pStyle w:val="ListBullet"/>
      </w:pPr>
      <w:r>
        <w:t>Output denies teacher guide, but cache contains it under a student-accessible key.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Security/privacy review maps assets, actors, actions, data flows and threats. Main G1 guide has an obvious fictional restricted marker; teacher-1 may read, learner-1 may not. A direct denial is insufficient if a query-only student-accessible cache stores/returns the guide. Both repaired direct/cache paths use trusted actor permission before lookup/context; learner denies with empty read trace, teacher allows. Request schema is exactly resource_id; role claims reject, unknown actors deny. Separate N1 note text belongs to learner-1 and assigned teacher-1 only; teacher-2 denies. Picture analytics needs revision counts, not private notes: two allowed revision-kind events yield revision_count 2, and a full-note event rejects. No note text or learner IDs are sent in that packet, yet tiny-group counts may remain identifying. Check linkability, readers and retention separately. Source instructions cannot grant authority, and happy-path checks do not test all misuse. Code uses copied fictional records/markers and no real secrets/accounts. It does not test all injection, retention or unlisted routes and provides no complete security/anonymity guarantee.</w:t>
      </w:r>
    </w:p>
    <w:p>
      <w:pPr>
        <w:pStyle w:val="ListBullet"/>
      </w:pPr>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Security/privacy review maps assets, actors, actions, data flows and threats. Main G1 guide has an obvious fictional restricted marker; teacher-1 may read, learner-1 may not. A direct denial is insufficient if a query-only student-accessible cache stores/returns the guide. Both repaired direct/cache paths use trusted actor permission before lookup/context; learner denies with empty read trace, teacher allows. Request schema is exactly resource_id; role claims reject, unknown actors deny. Separate N1 note text belongs to learner-1 and assigned teacher-1 only; teacher-2 denies. Picture analytics needs revision counts, not private notes: two allowed revision-kind events yield revision_count 2, and a full-note event rejects. No note text or learner IDs are sent in that packet, yet tiny-group counts may remain identifying. Check linkability, readers and retention separately. Source instructions cannot grant authority, and happy-path checks do not test all misuse. Code uses copied fictional records/markers and no real secrets/accounts. It does not test all injection, retention or unlisted routes and provides no complete security/anonymity guarantee.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Security and privacy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Security and privacy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Service blocks direct teacher lookup but diagnostic export includes full teacher answers. Identify defect and a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Review a private note’s path. A revision service reads a learner’s private practice note; analytics need counts only.</w:t>
      </w:r>
    </w:p>
    <w:p>
      <w:pPr>
        <w:pStyle w:val="ListBullet"/>
      </w:pPr>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ListBullet"/>
      </w:pPr>
      <w:r>
        <w:t>Trace private note content and analytics counts to their permitted readers. Why is storing full notes in the dashboard outside this design, and what risk can remain for tiny-group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Prepare the demonstration. Gather reproducible instructions, evidence, access checks and remaining limitations.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Review a private note’s path. A revision service reads a learner’s private practice note; analytics need counts only.</w:t>
      </w:r>
    </w:p>
    <w:p>
      <w:pPr>
        <w:pStyle w:val="Heading3"/>
      </w:pPr>
      <w:r>
        <w:t>Practice 1: explain the deciding evidence</w:t>
      </w:r>
    </w:p>
    <w:p>
      <w:pPr>
        <w:pStyle w:val="ListBullet"/>
      </w:pPr>
      <w:r>
        <w:t>Which labelled step matches this detail? Send revision counts without copying private notes.</w:t>
      </w:r>
    </w:p>
    <w:p>
      <w:pPr>
        <w:pStyle w:val="ListBullet"/>
      </w:pPr>
      <w:r>
        <w:t>1. Map content path</w:t>
      </w:r>
    </w:p>
    <w:p>
      <w:pPr>
        <w:pStyle w:val="ListBullet"/>
      </w:pPr>
      <w:r>
        <w:t>2. Check readers</w:t>
      </w:r>
    </w:p>
    <w:p>
      <w:pPr>
        <w:pStyle w:val="ListBullet"/>
      </w:pPr>
      <w:r>
        <w:t>3. Minimise analytics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Minimise analytics Send revision counts without copying private notes. A </w:t>
      </w:r>
      <w:r>
        <w:rPr>
          <w:b/>
        </w:rPr>
        <w:t>privacy review</w:t>
      </w:r>
      <w:r>
        <w:rPr>
          <w:b w:val="0"/>
        </w:rPr>
        <w:t xml:space="preserve"> follows data and authority through components.</w:t>
      </w:r>
    </w:p>
    <w:p>
      <w:pPr>
        <w:spacing w:line="336" w:lineRule="auto" w:after="180"/>
      </w:pPr>
      <w:r>
        <w:rPr>
          <w:b w:val="0"/>
        </w:rPr>
        <w:t>A useful dashboard does not automatically need every underlying private detail.</w:t>
      </w:r>
    </w:p>
    <w:p>
      <w:pPr>
        <w:pStyle w:val="Heading2"/>
      </w:pPr>
      <w:r>
        <w:t>Changed-case question and optional hint</w:t>
      </w:r>
    </w:p>
    <w:p>
      <w:pPr>
        <w:pStyle w:val="Heading3"/>
      </w:pPr>
      <w:r>
        <w:t>Practice 2: explain the deciding evidence</w:t>
      </w:r>
    </w:p>
    <w:p>
      <w:pPr>
        <w:pStyle w:val="ListBullet"/>
      </w:pPr>
      <w:r>
        <w:t>Changed-case practice: The dashboard starts storing full notes. Which conclusion is supported by the supplied facts?</w:t>
      </w:r>
    </w:p>
    <w:p>
      <w:pPr>
        <w:pStyle w:val="ListBullet"/>
      </w:pPr>
      <w:r>
        <w:t>1. This one example guarantees correct results for every future input.</w:t>
      </w:r>
    </w:p>
    <w:p>
      <w:pPr>
        <w:pStyle w:val="ListBullet"/>
      </w:pPr>
      <w:r>
        <w:t>2. Flag the unapproved content path and remove it from the design.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Flag the unapproved content path and remove it from the design. Its count-only purpose does not grant note-reading permission.</w:t>
      </w:r>
    </w:p>
    <w:p>
      <w:pPr>
        <w:pStyle w:val="Heading2"/>
      </w:pPr>
      <w:r>
        <w:t>Repair and retain the record</w:t>
      </w:r>
    </w:p>
    <w:p>
      <w:pPr>
        <w:spacing w:line="336" w:lineRule="auto" w:after="180"/>
      </w:pPr>
      <w:r>
        <w:rPr>
          <w:b w:val="0"/>
        </w:rPr>
        <w:t xml:space="preserve">Review Performance and cost experiments (ai-6/29). Goal: Explain the </w:t>
      </w:r>
      <w:r>
        <w:rPr>
          <w:b/>
        </w:rPr>
        <w:t>mechanism</w:t>
      </w:r>
      <w:r>
        <w:rPr>
          <w:b w:val="0"/>
        </w:rPr>
        <w:t xml:space="preserve"> and terminology of performance and cost experiments. Short practice: Calculate per-case seconds and cost units for A and B.</w:t>
      </w:r>
    </w:p>
    <w:p>
      <w:pPr>
        <w:spacing w:line="336" w:lineRule="auto" w:after="180"/>
      </w:pPr>
      <w:r>
        <w:rPr>
          <w:b w:val="0"/>
        </w:rPr>
        <w:t>Which meets a budget of at most 2 cost units per case, and what speed trade-off does that choice make?. Return to this week and explain what you changed.</w:t>
      </w:r>
    </w:p>
    <w:p>
      <w:pPr>
        <w:spacing w:line="336" w:lineRule="auto" w:after="180"/>
      </w:pPr>
      <w:r>
        <w:rPr>
          <w:b w:val="0"/>
        </w:rPr>
        <w:t xml:space="preserve">Review Human escalation workflows (ai-6/27). Goal: Explain the </w:t>
      </w:r>
      <w:r>
        <w:rPr>
          <w:b/>
        </w:rPr>
        <w:t>mechanism</w:t>
      </w:r>
      <w:r>
        <w:rPr>
          <w:b w:val="0"/>
        </w:rPr>
        <w:t xml:space="preserve"> and terminology of human escalation workflows. Short practice: Identify the exact service boundary in the bottle question.</w:t>
      </w:r>
    </w:p>
    <w:p>
      <w:pPr>
        <w:spacing w:line="336" w:lineRule="auto" w:after="180"/>
      </w:pPr>
      <w:r>
        <w:rPr>
          <w:b w:val="0"/>
        </w:rPr>
        <w:t>What accurate information belongs in the supervisor handoff, and what remains unresolved if nobody is reachable?. Return to this week and explain what you changed.</w:t>
      </w:r>
    </w:p>
    <w:p>
      <w:pPr>
        <w:spacing w:line="336" w:lineRule="auto" w:after="180"/>
      </w:pPr>
      <w:r>
        <w:rPr>
          <w:b w:val="0"/>
        </w:rPr>
        <w:t xml:space="preserve">Review Release and rollback (ai-6/24). Goal: Explain the </w:t>
      </w:r>
      <w:r>
        <w:rPr>
          <w:b/>
        </w:rPr>
        <w:t>mechanism</w:t>
      </w:r>
      <w:r>
        <w:rPr>
          <w:b w:val="0"/>
        </w:rPr>
        <w:t xml:space="preserve"> and terminology of release and rollback. Short practice: Compute A’s and B’s correctness percentages.</w:t>
      </w:r>
    </w:p>
    <w:p>
      <w:pPr>
        <w:spacing w:line="336" w:lineRule="auto" w:after="180"/>
      </w:pPr>
      <w:r>
        <w:rPr>
          <w:b w:val="0"/>
        </w:rPr>
        <w:t>Why is B still blocked, and does passing a fresh privacy check automatically satisfy every release gate?.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Security and privacy review: the case</w:t>
      </w:r>
    </w:p>
    <w:p>
      <w:r>
        <w:drawing>
          <wp:inline xmlns:a="http://schemas.openxmlformats.org/drawingml/2006/main" xmlns:pic="http://schemas.openxmlformats.org/drawingml/2006/picture">
            <wp:extent cx="5486400" cy="2834640"/>
            <wp:docPr id="2" name="Picture 2" descr="Review a private note’s path. A revision service reads a learner’s private practice note; analytics need counts only. Supplied facts: Only the learner and assigned teacher may read note text. The dashboard is authorised for aggregate counts, not notes."/>
            <wp:cNvGraphicFramePr>
              <a:graphicFrameLocks noChangeAspect="1"/>
            </wp:cNvGraphicFramePr>
            <a:graphic>
              <a:graphicData uri="http://schemas.openxmlformats.org/drawingml/2006/picture">
                <pic:pic>
                  <pic:nvPicPr>
                    <pic:cNvPr id="0" name="academy-story-ai-6-3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Review a private note’s path. A revision service reads a learner’s private practice note; analytics need counts only. Supplied facts: Only the learner and assigned teacher may read note text.</w:t>
      </w:r>
    </w:p>
    <w:p>
      <w:pPr>
        <w:spacing w:line="336" w:lineRule="auto" w:after="180"/>
      </w:pPr>
      <w:r>
        <w:rPr>
          <w:b w:val="0"/>
        </w:rPr>
        <w:t>The dashboard is authorised for aggregate counts, not notes.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Map content path: The authorised revision service receives the note. → Check readers: The stated learner and teacher can retrieve its text. → Minimise analytics: Send revision counts without copying private notes.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Security and privacy review — evidence trace</w:t>
      </w:r>
    </w:p>
    <w:p>
      <w:r>
        <w:drawing>
          <wp:inline xmlns:a="http://schemas.openxmlformats.org/drawingml/2006/main" xmlns:pic="http://schemas.openxmlformats.org/drawingml/2006/picture">
            <wp:extent cx="5486400" cy="2996184"/>
            <wp:docPr id="4" name="Picture 4" descr="Security and privacy review — evidence trace. Output denies teacher guide, but cache contains it under a student-accessible key. | For the classroom service identify restricted guides, session secrets and student content. Test denied roles, unexpected fields, source injection and minimised logging without real credentials. | Access remains broken through the cache path. Review every storage/return path and assert restricted data never reaches student output/context."/>
            <wp:cNvGraphicFramePr>
              <a:graphicFrameLocks noChangeAspect="1"/>
            </wp:cNvGraphicFramePr>
            <a:graphic>
              <a:graphicData uri="http://schemas.openxmlformats.org/drawingml/2006/picture">
                <pic:pic>
                  <pic:nvPicPr>
                    <pic:cNvPr id="0" name="academy-story-ai-6-30-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Security and </w:t>
      </w:r>
      <w:r>
        <w:rPr>
          <w:b/>
        </w:rPr>
        <w:t>privacy review</w:t>
      </w:r>
      <w:r>
        <w:rPr>
          <w:b w:val="0"/>
        </w:rPr>
        <w:t xml:space="preserve"> — </w:t>
      </w:r>
      <w:r>
        <w:rPr>
          <w:b/>
        </w:rPr>
        <w:t>evidence</w:t>
      </w:r>
      <w:r>
        <w:rPr>
          <w:b w:val="0"/>
        </w:rPr>
        <w:t xml:space="preserve"> trace. </w:t>
      </w:r>
      <w:r>
        <w:rPr>
          <w:b/>
        </w:rPr>
        <w:t>Output</w:t>
      </w:r>
      <w:r>
        <w:rPr>
          <w:b w:val="0"/>
        </w:rPr>
        <w:t xml:space="preserve"> denies teacher guide, but cache contains it under a student-accessible key. | For the classroom service identify restricted guides, session secrets and student content.</w:t>
      </w:r>
    </w:p>
    <w:p>
      <w:pPr>
        <w:spacing w:line="336" w:lineRule="auto" w:after="180"/>
      </w:pPr>
      <w:r>
        <w:rPr>
          <w:b w:val="0"/>
        </w:rPr>
        <w:t>Test denied roles, unexpected fields, source injection and minimised logging without real credentials. | Access remains broken through the cache path.</w:t>
      </w:r>
    </w:p>
    <w:p>
      <w:pPr>
        <w:spacing w:line="336" w:lineRule="auto" w:after="180"/>
      </w:pPr>
      <w:r>
        <w:rPr>
          <w:b w:val="0"/>
        </w:rPr>
        <w:t xml:space="preserve">Review every storage/return path and assert restricted data never reaches student </w:t>
      </w:r>
      <w:r>
        <w:rPr>
          <w:b/>
        </w:rPr>
        <w:t>output</w:t>
      </w:r>
      <w:r>
        <w:rPr>
          <w:b w:val="0"/>
        </w:rPr>
        <w:t>/context.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Send revision counts without copying private notes. Changed condition: The dashboard starts storing full notes. Expected result: Flag the unapproved content path and remove it from the design. Reason: Its count-only purpose does not grant note-reading permission."/>
            <wp:cNvGraphicFramePr>
              <a:graphicFrameLocks noChangeAspect="1"/>
            </wp:cNvGraphicFramePr>
            <a:graphic>
              <a:graphicData uri="http://schemas.openxmlformats.org/drawingml/2006/picture">
                <pic:pic>
                  <pic:nvPicPr>
                    <pic:cNvPr id="0" name="academy-story-ai-6-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Send revision counts without copying private notes. Changed condition: The dashboard starts storing full notes. Expected result: Flag the unapproved content path and remove it from the design.</w:t>
      </w:r>
    </w:p>
    <w:p>
      <w:pPr>
        <w:spacing w:line="336" w:lineRule="auto" w:after="180"/>
      </w:pPr>
      <w:r>
        <w:rPr>
          <w:b w:val="0"/>
        </w:rPr>
        <w:t>Reason: Its count-only purpose does not grant note-reading permission.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privacy review follows data and authority through components. A useful dashboard does not automatically need every underlying private detail. Limit: Tiny-group aggregates can still reveal individuals; evaluate linkability, access and retention."/>
            <wp:cNvGraphicFramePr>
              <a:graphicFrameLocks noChangeAspect="1"/>
            </wp:cNvGraphicFramePr>
            <a:graphic>
              <a:graphicData uri="http://schemas.openxmlformats.org/drawingml/2006/picture">
                <pic:pic>
                  <pic:nvPicPr>
                    <pic:cNvPr id="0" name="academy-story-ai-6-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spacing w:line="336" w:lineRule="auto" w:after="180"/>
      </w:pPr>
      <w:r>
        <w:rPr>
          <w:b w:val="0"/>
        </w:rPr>
        <w:t>Limit: Tiny-group aggregates can still reveal individuals; evaluate linkability, access and retention.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private note content and analytics counts to their permitted readers. Why is storing full notes in the dashboard outside this design, and what risk can remain for tiny-group counts?"/>
            <wp:cNvGraphicFramePr>
              <a:graphicFrameLocks noChangeAspect="1"/>
            </wp:cNvGraphicFramePr>
            <a:graphic>
              <a:graphicData uri="http://schemas.openxmlformats.org/drawingml/2006/picture">
                <pic:pic>
                  <pic:nvPicPr>
                    <pic:cNvPr id="0" name="academy-story-ai-6-3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private note content and analytics counts to their permitted readers.</w:t>
      </w:r>
    </w:p>
    <w:p>
      <w:pPr>
        <w:spacing w:line="336" w:lineRule="auto" w:after="180"/>
      </w:pPr>
      <w:r>
        <w:rPr>
          <w:b w:val="0"/>
        </w:rPr>
        <w:t>Why is storing full notes in the dashboard outside this design, and what risk can remain for tiny-group counts?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Security and privacy review: the case</w:t>
      </w:r>
    </w:p>
    <w:p>
      <w:pPr>
        <w:pStyle w:val="Heading3"/>
      </w:pPr>
      <w:r>
        <w:t>02. Follow the deciding steps</w:t>
      </w:r>
    </w:p>
    <w:p>
      <w:pPr>
        <w:pStyle w:val="Heading3"/>
      </w:pPr>
      <w:r>
        <w:t>03. Security and privacy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