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w:t>
      </w:r>
    </w:p>
    <w:p>
      <w:pPr>
        <w:pStyle w:val="Title"/>
      </w:pPr>
      <w:r>
        <w:t>Reading a research claim</w:t>
      </w:r>
    </w:p>
    <w:p>
      <w:r>
        <w:t>Project: Reproducible AI Research Study</w:t>
      </w:r>
    </w:p>
    <w:p>
      <w:pPr>
        <w:pStyle w:val="Heading1"/>
      </w:pPr>
      <w:r>
        <w:t>One complete claim and supporting-evidence audit.</w:t>
      </w:r>
    </w:p>
    <w:p>
      <w:r>
        <w:t>Keep headline, outcome, unit, data, baseline, arithmetic and unsupported extensions together.</w:t>
      </w:r>
    </w:p>
    <w:p>
      <w:r>
        <w:t>Recall → W1–W3/W5 → independent median claim → research-claim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A question that evidence can answer</w:t>
      </w:r>
    </w:p>
    <w:p>
      <w:pPr>
        <w:pStyle w:val="ListBullet"/>
      </w:pPr>
      <w:r>
        <w:t>Without opening the old lesson, explain one key idea from A question that evidence can answer.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Reading a research claim requires its method, data, baseline, metric, unit and limitations. Main fictional same-eight-case supported-answer counts A 5/8 = 62.5%, B 6/8 = 75%: +12.5 percentage points, rate ratio 1.2 and relative increase 20%. This supports a descriptive measured-outcome comparison, not universal usefulness, causal mechanism or learner benefit. Actual paired transitions, full support rubric and uncertainty analysis are not supplied by the headline. Added possible paired patterns illustrate that identical aggregates can contain one gain/no loss or two gains/one loss; they are not recovered real records. Separate picture correct-answer rates 2/10 = 20% to 4/10 = 40%: twice the rate, +20 percentage points and 100% relative increase, with six failures remaining. “Every learner improves twice as much” changes unit/outcome without data. No significance, population interval, causal effect or actual paper/model/participant result is supplied. A zero baseline has undefined finite rate ratio. Keep a valid narrow result while revising an unsupported headline.</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p>
      <w:pPr>
        <w:pStyle w:val="ListBullet"/>
      </w:pPr>
      <w:r>
        <w:t>Reading a research claim requires its method, data, baseline, metric, unit and limitations. Main fictional same-eight-case supported-answer counts A 5/8 = 62.5%, B 6/8 = 75%: +12.5 percentage points, rate ratio 1.2 and relative increase 20%. This supports a descriptive measured-outcome comparison, not universal usefulness, causal mechanism or learner benefit. Actual paired transitions, full support rubric and uncertainty analysis are not supplied by the headline. Added possible paired patterns illustrate that identical aggregates can contain one gain/no loss or two gains/one loss; they are not recovered real records. Separate picture correct-answer rates 2/10 = 20% to 4/10 = 40%: twice the rate, +20 percentage points and 100% relative increase, with six failures remaining. “Every learner improves twice as much” changes unit/outcome without data. No significance, population interval, causal effect or actual paper/model/participant result is supplied. A zero baseline has undefined finite rate ratio. Keep a valid narrow result while revising an unsupported headline.</w:t>
      </w:r>
    </w:p>
    <w:p>
      <w:pPr>
        <w:pStyle w:val="ListBullet"/>
      </w:pPr>
      <w:r>
        <w:t>A fictional report says method B is better after 6/8 supported answers versus baseline 5/8 on the same constructed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Reading a research claim requires its method, data, baseline, metric, unit and limitations. Main fictional same-eight-case supported-answer counts A 5/8 = 62.5%, B 6/8 = 75%: +12.5 percentage points, rate ratio 1.2 and relative increase 20%. This supports a descriptive measured-outcome comparison, not universal usefulness, causal mechanism or learner benefit. Actual paired transitions, full support rubric and uncertainty analysis are not supplied by the headline. Added possible paired patterns illustrate that identical aggregates can contain one gain/no loss or two gains/one loss; they are not recovered real records. Separate picture correct-answer rates 2/10 = 20% to 4/10 = 40%: twice the rate, +20 percentage points and 100% relative increase, with six failures remaining. “Every learner improves twice as much” changes unit/outcome without data. No significance, population interval, causal effect or actual paper/model/participant result is supplied. A zero baseline has undefined finite rate ratio. Keep a valid narrow result while revising an unsupported headline.</w:t>
      </w:r>
    </w:p>
    <w:p>
      <w:pPr>
        <w:pStyle w:val="ListBullet"/>
      </w:pPr>
      <w:r>
        <w:t>A report omits this qualification: A numerical improvement can be real in the sample while the broader claim remains unsupported.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Reading a research claim requires its method, data, baseline, metric, unit and limitations. Main fictional same-eight-case supported-answer counts A 5/8 = 62.5%, B 6/8 = 75%: +12.5 percentage points, rate ratio 1.2 and relative increase 20%. This supports a descriptive measured-outcome comparison, not universal usefulness, causal mechanism or learner benefit. Actual paired transitions, full support rubric and uncertainty analysis are not supplied by the headline. Added possible paired patterns illustrate that identical aggregates can contain one gain/no loss or two gains/one loss; they are not recovered real records. Separate picture correct-answer rates 2/10 = 20% to 4/10 = 40%: twice the rate, +20 percentage points and 100% relative increase, with six failures remaining. “Every learner improves twice as much” changes unit/outcome without data. No significance, population interval, causal effect or actual paper/model/participant result is supplied. A zero baseline has undefined finite rate ratio. Keep a valid narrow result while revising an unsupported headline.</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Report claims universal speed after median 2 seconds versus 3 on four local fixtures. Audit scope.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reading a research claim evidence sheet to Reproducible AI Research Study. Show how you can explain the mechanism and terminology of reading a research claim.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Reading a research claim.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Reading a research claim.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Report claims universal speed after median 2 seconds versus 3 on four local fixtures. Audit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Read a claim with its denominator. A fictional paper headline says a prompt is twice as effective. Its table reports four correct cases instead of two.</w:t>
      </w:r>
    </w:p>
    <w:p>
      <w:pPr>
        <w:pStyle w:val="ListBullet"/>
      </w:pPr>
      <w:r>
        <w:t>Baseline: 2/10 correct. New prompt: 4/10 on the same ten cases. Scoring is fixed.</w:t>
      </w:r>
    </w:p>
    <w:p>
      <w:r>
        <w:drawing>
          <wp:inline xmlns:a="http://schemas.openxmlformats.org/drawingml/2006/main" xmlns:pic="http://schemas.openxmlformats.org/drawingml/2006/picture">
            <wp:extent cx="5486400" cy="2641600"/>
            <wp:docPr id="1" name="Picture 1" descr="Correctness on ten shared cases"/>
            <wp:cNvGraphicFramePr>
              <a:graphicFrameLocks noChangeAspect="1"/>
            </wp:cNvGraphicFramePr>
            <a:graphic>
              <a:graphicData uri="http://schemas.openxmlformats.org/drawingml/2006/picture">
                <pic:pic>
                  <pic:nvPicPr>
                    <pic:cNvPr id="0" name="academy-detail-ai-7-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Reading a research claim. Find the measured outcome: The table counts correct answers, not learning or satisfaction.. Calculate both changes: 20%→40% is twice the rate and a 20-percentage-point increase.. Check claim scope: These ten cases support a descriptive comparison, not universal doubling."/>
            <wp:cNvGraphicFramePr>
              <a:graphicFrameLocks noChangeAspect="1"/>
            </wp:cNvGraphicFramePr>
            <a:graphic>
              <a:graphicData uri="http://schemas.openxmlformats.org/drawingml/2006/picture">
                <pic:pic>
                  <pic:nvPicPr>
                    <pic:cNvPr id="0" name="academy-visual-ai-7-2.png"/>
                    <pic:cNvPicPr/>
                  </pic:nvPicPr>
                  <pic:blipFill>
                    <a:blip r:embed="rId10"/>
                    <a:stretch>
                      <a:fillRect/>
                    </a:stretch>
                  </pic:blipFill>
                  <pic:spPr>
                    <a:xfrm>
                      <a:off x="0" y="0"/>
                      <a:ext cx="5486400" cy="5261429"/>
                    </a:xfrm>
                    <a:prstGeom prst="rect"/>
                  </pic:spPr>
                </pic:pic>
              </a:graphicData>
            </a:graphic>
          </wp:inline>
        </w:drawing>
      </w:r>
    </w:p>
    <w:p>
      <w:pPr>
        <w:pStyle w:val="ListBullet"/>
      </w:pPr>
      <w:r>
        <w:t>Calculate the baseline and new rates for 2/10 and 4/10. Explain both twice the rate and the percentage-point change, and say why neither measures every learner’s improvement.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Frame the need. Name the user, the problem, allowed inputs and a safe simple starting method.</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Read a claim with its denominator. A fictional paper headline says a prompt is twice as effective. Its table reports four correct cases instead of two.</w:t>
      </w:r>
    </w:p>
    <w:p>
      <w:pPr>
        <w:pStyle w:val="Heading3"/>
      </w:pPr>
      <w:r>
        <w:t>Practice 1: explain the deciding evidence</w:t>
      </w:r>
    </w:p>
    <w:p>
      <w:pPr>
        <w:pStyle w:val="ListBullet"/>
      </w:pPr>
      <w:r>
        <w:t>Which labelled step matches this detail? These ten cases support a descriptive comparison, not universal doubling.</w:t>
      </w:r>
    </w:p>
    <w:p>
      <w:pPr>
        <w:pStyle w:val="ListBullet"/>
      </w:pPr>
      <w:r>
        <w:t>1. Check claim scope</w:t>
      </w:r>
    </w:p>
    <w:p>
      <w:pPr>
        <w:pStyle w:val="ListBullet"/>
      </w:pPr>
      <w:r>
        <w:t>2. Calculate both changes</w:t>
      </w:r>
    </w:p>
    <w:p>
      <w:pPr>
        <w:pStyle w:val="ListBullet"/>
      </w:pPr>
      <w:r>
        <w:t>3. Find the measured outcome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Check </w:t>
      </w:r>
      <w:r>
        <w:rPr>
          <w:b/>
        </w:rPr>
        <w:t>claim</w:t>
      </w:r>
      <w:r>
        <w:rPr>
          <w:b w:val="0"/>
        </w:rPr>
        <w:t xml:space="preserve"> scope These ten cases support a descriptive comparison, not universal doubling. A research </w:t>
      </w:r>
      <w:r>
        <w:rPr>
          <w:b/>
        </w:rPr>
        <w:t>claim</w:t>
      </w:r>
      <w:r>
        <w:rPr>
          <w:b w:val="0"/>
        </w:rPr>
        <w:t xml:space="preserve"> compresses a method and result.</w:t>
      </w:r>
    </w:p>
    <w:p>
      <w:pPr>
        <w:spacing w:line="336" w:lineRule="auto" w:after="180"/>
      </w:pPr>
      <w:r>
        <w:rPr>
          <w:b w:val="0"/>
        </w:rPr>
        <w:t>Unpack the measured variable, denominator and comparison before accepting the headline.</w:t>
      </w:r>
    </w:p>
    <w:p>
      <w:pPr>
        <w:pStyle w:val="Heading2"/>
      </w:pPr>
      <w:r>
        <w:t>Changed-case question and optional hint</w:t>
      </w:r>
    </w:p>
    <w:p>
      <w:pPr>
        <w:pStyle w:val="Heading3"/>
      </w:pPr>
      <w:r>
        <w:t>Practice 2: explain the deciding evidence</w:t>
      </w:r>
    </w:p>
    <w:p>
      <w:pPr>
        <w:pStyle w:val="ListBullet"/>
      </w:pPr>
      <w:r>
        <w:t>Changed-case practice: The headline changes to "every learner improves twice as much".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That learner claim is unsupported by these answer counts.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That learner </w:t>
      </w:r>
      <w:r>
        <w:rPr>
          <w:b/>
        </w:rPr>
        <w:t>claim</w:t>
      </w:r>
      <w:r>
        <w:rPr>
          <w:b w:val="0"/>
        </w:rPr>
        <w:t xml:space="preserve"> is unsupported by these answer counts. The outcome and experimental unit have changed in the wording without new </w:t>
      </w:r>
      <w:r>
        <w:rPr>
          <w:b/>
        </w:rPr>
        <w:t>evidence</w:t>
      </w:r>
      <w:r>
        <w:rPr>
          <w:b w:val="0"/>
        </w:rPr>
        <w:t>.</w:t>
      </w:r>
    </w:p>
    <w:p>
      <w:pPr>
        <w:pStyle w:val="Heading2"/>
      </w:pPr>
      <w:r>
        <w:t>Repair and retain the record</w:t>
      </w:r>
    </w:p>
    <w:p>
      <w:pPr>
        <w:spacing w:line="336" w:lineRule="auto" w:after="180"/>
      </w:pPr>
      <w:r>
        <w:rPr>
          <w:b w:val="0"/>
        </w:rPr>
        <w:t xml:space="preserve">Review A question that </w:t>
      </w:r>
      <w:r>
        <w:rPr>
          <w:b/>
        </w:rPr>
        <w:t>evidence</w:t>
      </w:r>
      <w:r>
        <w:rPr>
          <w:b w:val="0"/>
        </w:rPr>
        <w:t xml:space="preserve"> can answer (ai-7/1). Goal: Explain the </w:t>
      </w:r>
      <w:r>
        <w:rPr>
          <w:b/>
        </w:rPr>
        <w:t>mechanism</w:t>
      </w:r>
      <w:r>
        <w:rPr>
          <w:b w:val="0"/>
        </w:rPr>
        <w:t xml:space="preserve"> and terminology of a question that </w:t>
      </w:r>
      <w:r>
        <w:rPr>
          <w:b/>
        </w:rPr>
        <w:t>evidence</w:t>
      </w:r>
      <w:r>
        <w:rPr>
          <w:b w:val="0"/>
        </w:rPr>
        <w:t xml:space="preserve"> can answer. Short practice: Which proposed diagram question has a measurable outcome?</w:t>
      </w:r>
    </w:p>
    <w:p>
      <w:pPr>
        <w:spacing w:line="336" w:lineRule="auto" w:after="180"/>
      </w:pPr>
      <w:r>
        <w:rPr>
          <w:b w:val="0"/>
        </w:rPr>
        <w:t>Name its versions, six-case denominator and fixed scoring, then explain why giving only B easier tasks spoils the comparison..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Reading a research claim: the case</w:t>
      </w:r>
    </w:p>
    <w:p>
      <w:r>
        <w:drawing>
          <wp:inline xmlns:a="http://schemas.openxmlformats.org/drawingml/2006/main" xmlns:pic="http://schemas.openxmlformats.org/drawingml/2006/picture">
            <wp:extent cx="5486400" cy="2834640"/>
            <wp:docPr id="3" name="Picture 3" descr="Read a claim with its denominator. A fictional paper headline says a prompt is twice as effective. Its table reports four correct cases instead of two. Supplied facts: Baseline: 2/10 correct. New prompt: 4/10 on the same ten cases. Scoring is fixed."/>
            <wp:cNvGraphicFramePr>
              <a:graphicFrameLocks noChangeAspect="1"/>
            </wp:cNvGraphicFramePr>
            <a:graphic>
              <a:graphicData uri="http://schemas.openxmlformats.org/drawingml/2006/picture">
                <pic:pic>
                  <pic:nvPicPr>
                    <pic:cNvPr id="0" name="academy-story-ai-7-2-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Read a </w:t>
      </w:r>
      <w:r>
        <w:rPr>
          <w:b/>
        </w:rPr>
        <w:t>claim</w:t>
      </w:r>
      <w:r>
        <w:rPr>
          <w:b w:val="0"/>
        </w:rPr>
        <w:t xml:space="preserve"> with its denominator. A fictional paper headline says a prompt is twice as effective. Its table reports four correct cases instead of two. Supplied facts: Baseline: 2/10 correct.</w:t>
      </w:r>
    </w:p>
    <w:p>
      <w:pPr>
        <w:spacing w:line="336" w:lineRule="auto" w:after="180"/>
      </w:pPr>
      <w:r>
        <w:rPr>
          <w:b w:val="0"/>
        </w:rPr>
        <w:t>New prompt: 4/10 on the same ten cases. Scoring is fixed.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Find the measured outcome: The table counts correct answers, not learning or satisfaction. → Calculate both changes: 20%→40% is twice the rate and a 20-percentage-point increase. → Check claim scope: These ten cases support a descriptive comparison, not universal doubling."/>
            <wp:cNvGraphicFramePr>
              <a:graphicFrameLocks noChangeAspect="1"/>
            </wp:cNvGraphicFramePr>
            <a:graphic>
              <a:graphicData uri="http://schemas.openxmlformats.org/drawingml/2006/picture">
                <pic:pic>
                  <pic:nvPicPr>
                    <pic:cNvPr id="0" name="academy-story-ai-7-2-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Find the measured outcome: The table counts correct answers, not learning or satisfaction. → Calculate both changes: 20%→40% is twice the rate and a 20-percentage-point increase. → Check </w:t>
      </w:r>
      <w:r>
        <w:rPr>
          <w:b/>
        </w:rPr>
        <w:t>claim</w:t>
      </w:r>
      <w:r>
        <w:rPr>
          <w:b w:val="0"/>
        </w:rPr>
        <w:t xml:space="preserve"> scope: These ten cases support a descriptive comparison, not universal doubling.</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Correctness on ten shared cases</w:t>
      </w:r>
    </w:p>
    <w:p>
      <w:r>
        <w:drawing>
          <wp:inline xmlns:a="http://schemas.openxmlformats.org/drawingml/2006/main" xmlns:pic="http://schemas.openxmlformats.org/drawingml/2006/picture">
            <wp:extent cx="5486400" cy="2834640"/>
            <wp:docPr id="5" name="Picture 5" descr="Correctness on ten shared cases. Units: correct answers out of 10. Baseline: 2. New prompt: 4."/>
            <wp:cNvGraphicFramePr>
              <a:graphicFrameLocks noChangeAspect="1"/>
            </wp:cNvGraphicFramePr>
            <a:graphic>
              <a:graphicData uri="http://schemas.openxmlformats.org/drawingml/2006/picture">
                <pic:pic>
                  <pic:nvPicPr>
                    <pic:cNvPr id="0" name="academy-story-ai-7-2-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Correctness on ten shared cases. Units: correct answers out of 10. Baseline: 2. New prompt: 4.</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These ten cases support a descriptive comparison, not universal doubling. Changed condition: The headline changes to &quot;every learner improves twice as much&quot;. Expected result: That learner claim is unsupported by these answer counts. Reason: The outcome and experimental unit have changed in the wording without new evidence."/>
            <wp:cNvGraphicFramePr>
              <a:graphicFrameLocks noChangeAspect="1"/>
            </wp:cNvGraphicFramePr>
            <a:graphic>
              <a:graphicData uri="http://schemas.openxmlformats.org/drawingml/2006/picture">
                <pic:pic>
                  <pic:nvPicPr>
                    <pic:cNvPr id="0" name="academy-story-ai-7-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These ten cases support a descriptive comparison, not universal doubling. Changed condition: The headline changes to "every learner improves twice as much".</w:t>
      </w:r>
    </w:p>
    <w:p>
      <w:pPr>
        <w:spacing w:line="336" w:lineRule="auto" w:after="180"/>
      </w:pPr>
      <w:r>
        <w:rPr>
          <w:b w:val="0"/>
        </w:rPr>
        <w:t xml:space="preserve">Expected result: That learner </w:t>
      </w:r>
      <w:r>
        <w:rPr>
          <w:b/>
        </w:rPr>
        <w:t>claim</w:t>
      </w:r>
      <w:r>
        <w:rPr>
          <w:b w:val="0"/>
        </w:rPr>
        <w:t xml:space="preserve"> is unsupported by these answer counts. Reason: The outcome and experimental unit have changed in the wording without new </w:t>
      </w:r>
      <w:r>
        <w:rPr>
          <w:b/>
        </w:rPr>
        <w:t>evidence</w:t>
      </w:r>
      <w:r>
        <w:rPr>
          <w:b w:val="0"/>
        </w:rPr>
        <w: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research claim compresses a method and result. Unpack the measured variable, denominator and comparison before accepting the headline. Limit: Small case counts leave substantial uncertainty; no significance or causal effect is supplied."/>
            <wp:cNvGraphicFramePr>
              <a:graphicFrameLocks noChangeAspect="1"/>
            </wp:cNvGraphicFramePr>
            <a:graphic>
              <a:graphicData uri="http://schemas.openxmlformats.org/drawingml/2006/picture">
                <pic:pic>
                  <pic:nvPicPr>
                    <pic:cNvPr id="0" name="academy-story-ai-7-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research </w:t>
      </w:r>
      <w:r>
        <w:rPr>
          <w:b/>
        </w:rPr>
        <w:t>claim</w:t>
      </w:r>
      <w:r>
        <w:rPr>
          <w:b w:val="0"/>
        </w:rPr>
        <w:t xml:space="preserve"> compresses a method and result. Unpack the measured variable, denominator and comparison before accepting the headline.</w:t>
      </w:r>
    </w:p>
    <w:p>
      <w:pPr>
        <w:spacing w:line="336" w:lineRule="auto" w:after="180"/>
      </w:pPr>
      <w:r>
        <w:rPr>
          <w:b w:val="0"/>
        </w:rPr>
        <w:t>Limit: Small case counts leave substantial uncertainty; no significance or causal effect is supplied.</w:t>
      </w:r>
    </w:p>
    <w:p>
      <w:pPr>
        <w:spacing w:line="336" w:lineRule="auto" w:after="180"/>
      </w:pPr>
      <w:r>
        <w:rPr>
          <w:b w:val="0"/>
        </w:rPr>
        <w:t xml:space="preserve">Explain the case, then point to a limit on the </w:t>
      </w:r>
      <w:r>
        <w:rPr>
          <w:b/>
        </w:rPr>
        <w:t>claim</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baseline and new rates for 2/10 and 4/10. Explain both twice the rate and the percentage-point change, and say why neither measures every learner’s improvement."/>
            <wp:cNvGraphicFramePr>
              <a:graphicFrameLocks noChangeAspect="1"/>
            </wp:cNvGraphicFramePr>
            <a:graphic>
              <a:graphicData uri="http://schemas.openxmlformats.org/drawingml/2006/picture">
                <pic:pic>
                  <pic:nvPicPr>
                    <pic:cNvPr id="0" name="academy-story-ai-7-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the Reproducible AI Research Study, retain an annotated worked trace and the changed-case reasoning. Connect the </w:t>
      </w:r>
      <w:r>
        <w:rPr>
          <w:b/>
        </w:rPr>
        <w:t>claim</w:t>
      </w:r>
      <w:r>
        <w:rPr>
          <w:b w:val="0"/>
        </w:rPr>
        <w:t xml:space="preserve">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the baseline and new rates for 2/10 and 4/10.</w:t>
      </w:r>
    </w:p>
    <w:p>
      <w:pPr>
        <w:spacing w:line="336" w:lineRule="auto" w:after="180"/>
      </w:pPr>
      <w:r>
        <w:rPr>
          <w:b w:val="0"/>
        </w:rPr>
        <w:t>Explain both twice the rate and the percentage-point change, and say why neither measures every learner’s improvement.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Reading a research claim: the case</w:t>
      </w:r>
    </w:p>
    <w:p>
      <w:pPr>
        <w:pStyle w:val="Heading3"/>
      </w:pPr>
      <w:r>
        <w:t>02. Follow the deciding steps</w:t>
      </w:r>
    </w:p>
    <w:p>
      <w:pPr>
        <w:pStyle w:val="Heading3"/>
      </w:pPr>
      <w:r>
        <w:t>03. Correctness on ten shared cases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