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ai-7/11</w:t>
      </w:r>
    </w:p>
    <w:p>
      <w:pPr>
        <w:pStyle w:val="Title"/>
      </w:pPr>
      <w:r>
        <w:t>Sampling variability</w:t>
      </w:r>
    </w:p>
    <w:p>
      <w:r>
        <w:t>Project: Reproducible AI Research Study</w:t>
      </w:r>
    </w:p>
    <w:p>
      <w:pPr>
        <w:pStyle w:val="Heading1"/>
      </w:pPr>
      <w:r>
        <w:t>One complete population, sample and statistic record.</w:t>
      </w:r>
    </w:p>
    <w:p>
      <w:r>
        <w:t>Keep IDs, selection rule, complete samples, means, weights and limits on transferred inference together.</w:t>
      </w:r>
    </w:p>
    <w:p>
      <w:r>
        <w:t>Recall → W1–W3/W5 → independent new-value case → sampling-variability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Confounders and controls</w:t>
      </w:r>
    </w:p>
    <w:p>
      <w:pPr>
        <w:pStyle w:val="ListBullet"/>
      </w:pPr>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and fair comparisons</w:t>
      </w:r>
    </w:p>
    <w:p>
      <w:pPr>
        <w:pStyle w:val="ListBullet"/>
      </w:pPr>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Replication and reproduction</w:t>
      </w:r>
    </w:p>
    <w:p>
      <w:pPr>
        <w:pStyle w:val="ListBullet"/>
      </w:pPr>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Sampling variability means different eligible samples can produce different statistics under fixed population/procedure conditions. Complete known model: U1 and U2 each have value 1; U3 and U4 each have value 3. Choose two distinct IDs uniformly without replacement. Six unordered pairs are equally likely: U1/U2 has mean 1; U1/U3, U1/U4, U2/U3 and U2/U4 have mean 2; U3/U4 has mean 3. The average of all six means is 2, equal to the known population mean. Four of six pairs have mean 2, so its probability is 4/6 = 2/3. Equal values retain distinct IDs. Enumeration lists possibilities, not six independent observed experiments; draws within a sample without replacement are not independent. Separate picture fixed classifier/rubric scores 3/4 = 75% and 2/4 = 50% on different four-case samples, 25 percentage points apart. No sampling model or confidence interval is supplied for that picture. Identical deterministic records/predictions/scoring should replay consistently. Code uses exact arithmetic on supplied fixtures, no random draw, live classifier or broad population inference.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Unordered ID pair</w:t>
            </w:r>
          </w:p>
        </w:tc>
        <w:tc>
          <w:tcPr>
            <w:tcW w:type="dxa" w:w="2556"/>
          </w:tcPr>
          <w:p>
            <w:r>
              <w:t>Selected values</w:t>
            </w:r>
          </w:p>
        </w:tc>
        <w:tc>
          <w:tcPr>
            <w:tcW w:type="dxa" w:w="2556"/>
          </w:tcPr>
          <w:p>
            <w:r>
              <w:t>Sample mean</w:t>
            </w:r>
          </w:p>
        </w:tc>
        <w:tc>
          <w:tcPr>
            <w:tcW w:type="dxa" w:w="2556"/>
          </w:tcPr>
          <w:p>
            <w:r>
              <w:t>Model probability</w:t>
            </w:r>
          </w:p>
        </w:tc>
      </w:tr>
      <w:tr>
        <w:tc>
          <w:tcPr>
            <w:tcW w:type="dxa" w:w="2556"/>
          </w:tcPr>
          <w:p>
            <w:r>
              <w:t>U1, U2</w:t>
            </w:r>
          </w:p>
        </w:tc>
        <w:tc>
          <w:tcPr>
            <w:tcW w:type="dxa" w:w="2556"/>
          </w:tcPr>
          <w:p>
            <w:r>
              <w:t>1, 1</w:t>
            </w:r>
          </w:p>
        </w:tc>
        <w:tc>
          <w:tcPr>
            <w:tcW w:type="dxa" w:w="2556"/>
          </w:tcPr>
          <w:p>
            <w:r>
              <w:t>1</w:t>
            </w:r>
          </w:p>
        </w:tc>
        <w:tc>
          <w:tcPr>
            <w:tcW w:type="dxa" w:w="2556"/>
          </w:tcPr>
          <w:p>
            <w:r>
              <w:t>1/6</w:t>
            </w:r>
          </w:p>
        </w:tc>
      </w:tr>
      <w:tr>
        <w:tc>
          <w:tcPr>
            <w:tcW w:type="dxa" w:w="2556"/>
          </w:tcPr>
          <w:p>
            <w:r>
              <w:t>U1, U3</w:t>
            </w:r>
          </w:p>
        </w:tc>
        <w:tc>
          <w:tcPr>
            <w:tcW w:type="dxa" w:w="2556"/>
          </w:tcPr>
          <w:p>
            <w:r>
              <w:t>1, 3</w:t>
            </w:r>
          </w:p>
        </w:tc>
        <w:tc>
          <w:tcPr>
            <w:tcW w:type="dxa" w:w="2556"/>
          </w:tcPr>
          <w:p>
            <w:r>
              <w:t>2</w:t>
            </w:r>
          </w:p>
        </w:tc>
        <w:tc>
          <w:tcPr>
            <w:tcW w:type="dxa" w:w="2556"/>
          </w:tcPr>
          <w:p>
            <w:r>
              <w:t>1/6</w:t>
            </w:r>
          </w:p>
        </w:tc>
      </w:tr>
      <w:tr>
        <w:tc>
          <w:tcPr>
            <w:tcW w:type="dxa" w:w="2556"/>
          </w:tcPr>
          <w:p>
            <w:r>
              <w:t>U1, U4</w:t>
            </w:r>
          </w:p>
        </w:tc>
        <w:tc>
          <w:tcPr>
            <w:tcW w:type="dxa" w:w="2556"/>
          </w:tcPr>
          <w:p>
            <w:r>
              <w:t>1, 3</w:t>
            </w:r>
          </w:p>
        </w:tc>
        <w:tc>
          <w:tcPr>
            <w:tcW w:type="dxa" w:w="2556"/>
          </w:tcPr>
          <w:p>
            <w:r>
              <w:t>2</w:t>
            </w:r>
          </w:p>
        </w:tc>
        <w:tc>
          <w:tcPr>
            <w:tcW w:type="dxa" w:w="2556"/>
          </w:tcPr>
          <w:p>
            <w:r>
              <w:t>1/6</w:t>
            </w:r>
          </w:p>
        </w:tc>
      </w:tr>
      <w:tr>
        <w:tc>
          <w:tcPr>
            <w:tcW w:type="dxa" w:w="2556"/>
          </w:tcPr>
          <w:p>
            <w:r>
              <w:t>U2, U3</w:t>
            </w:r>
          </w:p>
        </w:tc>
        <w:tc>
          <w:tcPr>
            <w:tcW w:type="dxa" w:w="2556"/>
          </w:tcPr>
          <w:p>
            <w:r>
              <w:t>1, 3</w:t>
            </w:r>
          </w:p>
        </w:tc>
        <w:tc>
          <w:tcPr>
            <w:tcW w:type="dxa" w:w="2556"/>
          </w:tcPr>
          <w:p>
            <w:r>
              <w:t>2</w:t>
            </w:r>
          </w:p>
        </w:tc>
        <w:tc>
          <w:tcPr>
            <w:tcW w:type="dxa" w:w="2556"/>
          </w:tcPr>
          <w:p>
            <w:r>
              <w:t>1/6</w:t>
            </w:r>
          </w:p>
        </w:tc>
      </w:tr>
      <w:tr>
        <w:tc>
          <w:tcPr>
            <w:tcW w:type="dxa" w:w="2556"/>
          </w:tcPr>
          <w:p>
            <w:r>
              <w:t>U2, U4</w:t>
            </w:r>
          </w:p>
        </w:tc>
        <w:tc>
          <w:tcPr>
            <w:tcW w:type="dxa" w:w="2556"/>
          </w:tcPr>
          <w:p>
            <w:r>
              <w:t>1, 3</w:t>
            </w:r>
          </w:p>
        </w:tc>
        <w:tc>
          <w:tcPr>
            <w:tcW w:type="dxa" w:w="2556"/>
          </w:tcPr>
          <w:p>
            <w:r>
              <w:t>2</w:t>
            </w:r>
          </w:p>
        </w:tc>
        <w:tc>
          <w:tcPr>
            <w:tcW w:type="dxa" w:w="2556"/>
          </w:tcPr>
          <w:p>
            <w:r>
              <w:t>1/6</w:t>
            </w:r>
          </w:p>
        </w:tc>
      </w:tr>
      <w:tr>
        <w:tc>
          <w:tcPr>
            <w:tcW w:type="dxa" w:w="2556"/>
          </w:tcPr>
          <w:p>
            <w:r>
              <w:t>U3, U4</w:t>
            </w:r>
          </w:p>
        </w:tc>
        <w:tc>
          <w:tcPr>
            <w:tcW w:type="dxa" w:w="2556"/>
          </w:tcPr>
          <w:p>
            <w:r>
              <w:t>3, 3</w:t>
            </w:r>
          </w:p>
        </w:tc>
        <w:tc>
          <w:tcPr>
            <w:tcW w:type="dxa" w:w="2556"/>
          </w:tcPr>
          <w:p>
            <w:r>
              <w:t>3</w:t>
            </w:r>
          </w:p>
        </w:tc>
        <w:tc>
          <w:tcPr>
            <w:tcW w:type="dxa" w:w="2556"/>
          </w:tcPr>
          <w:p>
            <w:r>
              <w:t>1/6</w:t>
            </w:r>
          </w:p>
        </w:tc>
      </w:tr>
      <w:tr>
        <w:tc>
          <w:tcPr>
            <w:tcW w:type="dxa" w:w="2556"/>
          </w:tcPr>
          <w:p>
            <w:r>
              <w:t>Summary</w:t>
            </w:r>
          </w:p>
        </w:tc>
        <w:tc>
          <w:tcPr>
            <w:tcW w:type="dxa" w:w="2556"/>
          </w:tcPr>
          <w:p>
            <w:r>
              <w:t>Six equally likely ID pairs</w:t>
            </w:r>
          </w:p>
        </w:tc>
        <w:tc>
          <w:tcPr>
            <w:tcW w:type="dxa" w:w="2556"/>
          </w:tcPr>
          <w:p>
            <w:r>
              <w:t>Average = (1+2+2+2+2+3)/6 = 2</w:t>
            </w:r>
          </w:p>
        </w:tc>
        <w:tc>
          <w:tcPr>
            <w:tcW w:type="dxa" w:w="2556"/>
          </w:tcPr>
          <w:p>
            <w:r>
              <w:t>P(mean 2) = 4/6 = 2/3</w:t>
            </w:r>
          </w:p>
        </w:tc>
      </w:tr>
    </w:tbl>
    <w:p>
      <w:r>
        <w:drawing>
          <wp:inline xmlns:a="http://schemas.openxmlformats.org/drawingml/2006/main" xmlns:pic="http://schemas.openxmlformats.org/drawingml/2006/picture">
            <wp:extent cx="5161935" cy="3200400"/>
            <wp:docPr id="1" name="Picture 1" descr="Exact sampling distribution for choosing two distinct IDs uniformly from values one, one, three, three. One of six unordered pairs has mean one, four have mean two and one has mean three. Probabilities are one sixth, two thirds and one sixth; the average of the six means is two."/>
            <wp:cNvGraphicFramePr>
              <a:graphicFrameLocks noChangeAspect="1"/>
            </wp:cNvGraphicFramePr>
            <a:graphic>
              <a:graphicData uri="http://schemas.openxmlformats.org/drawingml/2006/picture">
                <pic:pic>
                  <pic:nvPicPr>
                    <pic:cNvPr id="0" name="ai-7-11-exact-sampling-distribution.png"/>
                    <pic:cNvPicPr/>
                  </pic:nvPicPr>
                  <pic:blipFill>
                    <a:blip r:embed="rId9"/>
                    <a:stretch>
                      <a:fillRect/>
                    </a:stretch>
                  </pic:blipFill>
                  <pic:spPr>
                    <a:xfrm>
                      <a:off x="0" y="0"/>
                      <a:ext cx="5161935" cy="3200400"/>
                    </a:xfrm>
                    <a:prstGeom prst="rect"/>
                  </pic:spPr>
                </pic:pic>
              </a:graphicData>
            </a:graphic>
          </wp:inline>
        </w:drawing>
      </w:r>
    </w:p>
    <w:p>
      <w:pPr>
        <w:pStyle w:val="ListBullet"/>
      </w:pPr>
      <w:r>
        <w:t>Sampling variability means different eligible samples can produce different statistics under fixed population/procedure conditions. Complete known model: U1 and U2 each have value 1; U3 and U4 each have value 3. Choose two distinct IDs uniformly without replacement. Six unordered pairs are equally likely: U1/U2 has mean 1; U1/U3, U1/U4, U2/U3 and U2/U4 have mean 2; U3/U4 has mean 3. The average of all six means is 2, equal to the known population mean. Four of six pairs have mean 2, so its probability is 4/6 = 2/3. Equal values retain distinct IDs. Enumeration lists possibilities, not six independent observed experiments; draws within a sample without replacement are not independent. Separate picture fixed classifier/rubric scores 3/4 = 75% and 2/4 = 50% on different four-case samples, 25 percentage points apart. No sampling model or confidence interval is supplied for that picture. Identical deterministic records/predictions/scoring should replay consistently. Code uses exact arithmetic on supplied fixtures, no random draw, live classifier or broad population inference.</w:t>
      </w:r>
    </w:p>
    <w:p>
      <w:pPr>
        <w:pStyle w:val="ListBullet"/>
      </w:pPr>
      <w:r>
        <w:t>Population values are 1, 1, 3, 3, with four distinct IDs. Choose two IDs uniformly without replacement. List all six unordered pairs and their means, then find the mean of those means and the chance of obtaining a mean of 2.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Sampling variability means different eligible samples can produce different statistics under fixed population/procedure conditions. Complete known model: U1 and U2 each have value 1; U3 and U4 each have value 3. Choose two distinct IDs uniformly without replacement. Six unordered pairs are equally likely: U1/U2 has mean 1; U1/U3, U1/U4, U2/U3 and U2/U4 have mean 2; U3/U4 has mean 3. The average of all six means is 2, equal to the known population mean. Four of six pairs have mean 2, so its probability is 4/6 = 2/3. Equal values retain distinct IDs. Enumeration lists possibilities, not six independent observed experiments; draws within a sample without replacement are not independent. Separate picture fixed classifier/rubric scores 3/4 = 75% and 2/4 = 50% on different four-case samples, 25 percentage points apart. No sampling model or confidence interval is supplied for that picture. Identical deterministic records/predictions/scoring should replay consistently. Code uses exact arithmetic on supplied fixtures, no random draw, live classifier or broad population inference.</w:t>
      </w:r>
    </w:p>
    <w:p>
      <w:pPr>
        <w:pStyle w:val="ListBullet"/>
      </w:pPr>
      <w:r>
        <w:t>A report omits this qualification: This finite example is not a general normality guarantee or a model of a biased convenience sample.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Sampling variability means different eligible samples can produce different statistics under fixed population/procedure conditions. Complete known model: U1 and U2 each have value 1; U3 and U4 each have value 3. Choose two distinct IDs uniformly without replacement. Six unordered pairs are equally likely: U1/U2 has mean 1; U1/U3, U1/U4, U2/U3 and U2/U4 have mean 2; U3/U4 has mean 3. The average of all six means is 2, equal to the known population mean. Four of six pairs have mean 2, so its probability is 4/6 = 2/3. Equal values retain distinct IDs. Enumeration lists possibilities, not six independent observed experiments; draws within a sample without replacement are not independent. Separate picture fixed classifier/rubric scores 3/4 = 75% and 2/4 = 50% on different four-case samples, 25 percentage points apart. No sampling model or confidence interval is supplied for that picture. Identical deterministic records/predictions/scoring should replay consistently. Code uses exact arithmetic on supplied fixtures, no random draw, live classifier or broad population inference.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Population values are 0, 0, 4, 4, with four distinct IDs. Choose two IDs uniformly without replacement. Enumerate all six unordered pairs, calculate their sample means and find their average.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Sampling variability.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Sampling variability.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Population values are 0, 0, 4, 4, with four distinct IDs. Choose two IDs uniformly without replacement. Enumerate all six unordered pairs, calculate their sample means and find their average.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Two small samples can differ. A fixed classifier is scored on two distinct four-case samples from a declared collection.</w:t>
      </w:r>
    </w:p>
    <w:p>
      <w:pPr>
        <w:pStyle w:val="ListBullet"/>
      </w:pPr>
      <w:r>
        <w:t>Sample A has 3 correct of 4; sample B has 2 correct of 4. The model and rubric are unchanged.</w:t>
      </w:r>
    </w:p>
    <w:p>
      <w:r>
        <w:drawing>
          <wp:inline xmlns:a="http://schemas.openxmlformats.org/drawingml/2006/main" xmlns:pic="http://schemas.openxmlformats.org/drawingml/2006/picture">
            <wp:extent cx="5486400" cy="2641600"/>
            <wp:docPr id="2" name="Picture 2"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3" name="Picture 3"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1"/>
                    <a:stretch>
                      <a:fillRect/>
                    </a:stretch>
                  </pic:blipFill>
                  <pic:spPr>
                    <a:xfrm>
                      <a:off x="0" y="0"/>
                      <a:ext cx="5486400" cy="5145314"/>
                    </a:xfrm>
                    <a:prstGeom prst="rect"/>
                  </pic:spPr>
                </pic:pic>
              </a:graphicData>
            </a:graphic>
          </wp:inline>
        </w:drawing>
      </w:r>
    </w:p>
    <w:p>
      <w:pPr>
        <w:pStyle w:val="ListBullet"/>
      </w:pPr>
      <w:r>
        <w:t>Calculate the two four-case rates and their difference. Explain how changed included cases can affect a fixed model, and why identical deterministic records should not differ on a rerun.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Make a transparent first version. Keep a trace of how one input becomes an output; explain the rule or learned component.</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Two small samples can differ. A fixed classifier is scored on two distinct four-case samples from a declared collection.</w:t>
      </w:r>
    </w:p>
    <w:p>
      <w:pPr>
        <w:pStyle w:val="Heading3"/>
      </w:pPr>
      <w:r>
        <w:t>Practice 1: explain the deciding evidence</w:t>
      </w:r>
    </w:p>
    <w:p>
      <w:pPr>
        <w:pStyle w:val="ListBullet"/>
      </w:pPr>
      <w:r>
        <w:t>Which labelled step matches this detail? Different included cases can change a small-sample rate.</w:t>
      </w:r>
    </w:p>
    <w:p>
      <w:pPr>
        <w:pStyle w:val="ListBullet"/>
      </w:pPr>
      <w:r>
        <w:t>1. Consider sampling</w:t>
      </w:r>
    </w:p>
    <w:p>
      <w:pPr>
        <w:pStyle w:val="ListBullet"/>
      </w:pPr>
      <w:r>
        <w:t>2. Keep model fixed</w:t>
      </w:r>
    </w:p>
    <w:p>
      <w:pPr>
        <w:pStyle w:val="ListBullet"/>
      </w:pPr>
      <w:r>
        <w:t>3. Compute observed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Consider sampling Different included cases can change a small-sample rate. </w:t>
      </w:r>
      <w:r>
        <w:rPr>
          <w:b/>
        </w:rPr>
        <w:t>Sampling variability</w:t>
      </w:r>
      <w:r>
        <w:rPr>
          <w:b w:val="0"/>
        </w:rPr>
        <w:t xml:space="preserve"> means a statistic can vary because different units were observed.</w:t>
      </w:r>
    </w:p>
    <w:p>
      <w:pPr>
        <w:spacing w:line="336" w:lineRule="auto" w:after="180"/>
      </w:pPr>
      <w:r>
        <w:rPr>
          <w:b w:val="0"/>
        </w:rPr>
        <w:t>Do not automatically attribute every rate change to a model improvement or deterioration.</w:t>
      </w:r>
    </w:p>
    <w:p>
      <w:pPr>
        <w:pStyle w:val="Heading2"/>
      </w:pPr>
      <w:r>
        <w:t>Changed-case question and optional hint</w:t>
      </w:r>
    </w:p>
    <w:p>
      <w:pPr>
        <w:pStyle w:val="Heading3"/>
      </w:pPr>
      <w:r>
        <w:t>Practice 2: explain the deciding evidence</w:t>
      </w:r>
    </w:p>
    <w:p>
      <w:pPr>
        <w:pStyle w:val="ListBullet"/>
      </w:pPr>
      <w:r>
        <w:t>Changed-case practice: Evaluate the exact same fixed four cases twice with deterministic predictions. Which conclusion is supported by the supplied facts?</w:t>
      </w:r>
    </w:p>
    <w:p>
      <w:pPr>
        <w:pStyle w:val="ListBullet"/>
      </w:pPr>
      <w:r>
        <w:t>1. The counts should agree unless some condition, data or scoring changed.</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counts should agree unless some condition, data or scoring changed. The sampling explanation no longer applies when the records are identical.</w:t>
      </w:r>
    </w:p>
    <w:p>
      <w:pPr>
        <w:pStyle w:val="Heading2"/>
      </w:pPr>
      <w:r>
        <w:t>Repair and retain the record</w:t>
      </w:r>
    </w:p>
    <w:p>
      <w:pPr>
        <w:spacing w:line="336" w:lineRule="auto" w:after="180"/>
      </w:pPr>
      <w:r>
        <w:rPr>
          <w:b w:val="0"/>
        </w:rPr>
        <w:t xml:space="preserve">Review Confounders and controls (ai-7/10). Goal: Explain the </w:t>
      </w:r>
      <w:r>
        <w:rPr>
          <w:b/>
        </w:rPr>
        <w:t>mechanism</w:t>
      </w:r>
      <w:r>
        <w:rPr>
          <w:b w:val="0"/>
        </w:rPr>
        <w:t xml:space="preserve"> and terminology of confounders and controls. Short practice: Draw the four condition/background combinations.</w:t>
      </w:r>
    </w:p>
    <w:p>
      <w:pPr>
        <w:spacing w:line="336" w:lineRule="auto" w:after="180"/>
      </w:pPr>
      <w:r>
        <w:rPr>
          <w:b w:val="0"/>
        </w:rPr>
        <w:t>Which variables were coupled before, and why would collecting only healthy-white and spotted-blue again leave the confounding unresolved?. Return to this week and explain what you changed.</w:t>
      </w:r>
    </w:p>
    <w:p>
      <w:pPr>
        <w:spacing w:line="336" w:lineRule="auto" w:after="180"/>
      </w:pPr>
      <w:r>
        <w:rPr>
          <w:b w:val="0"/>
        </w:rPr>
        <w:t xml:space="preserve">Review Baselines and fair comparisons (ai-7/8). Goal: Explain the </w:t>
      </w:r>
      <w:r>
        <w:rPr>
          <w:b/>
        </w:rPr>
        <w:t>mechanism</w:t>
      </w:r>
      <w:r>
        <w:rPr>
          <w:b w:val="0"/>
        </w:rPr>
        <w:t xml:space="preserve"> and terminology of baselines and fair comparisons. Short practice: Calculate 6/8 and 7/8 correctness and name the one-case gain.</w:t>
      </w:r>
    </w:p>
    <w:p>
      <w:pPr>
        <w:spacing w:line="336" w:lineRule="auto" w:after="180"/>
      </w:pPr>
      <w:r>
        <w:rPr>
          <w:b w:val="0"/>
        </w:rPr>
        <w:t>Why is giving B the answer key incompatible with an unseen comparison to the simple baseline?. Return to this week and explain what you changed.</w:t>
      </w:r>
    </w:p>
    <w:p>
      <w:pPr>
        <w:spacing w:line="336" w:lineRule="auto" w:after="180"/>
      </w:pPr>
      <w:r>
        <w:rPr>
          <w:b w:val="0"/>
        </w:rPr>
        <w:t xml:space="preserve">Review Replication and reproduction (ai-7/5). Goal: Explain the </w:t>
      </w:r>
      <w:r>
        <w:rPr>
          <w:b/>
        </w:rPr>
        <w:t>mechanism</w:t>
      </w:r>
      <w:r>
        <w:rPr>
          <w:b w:val="0"/>
        </w:rPr>
        <w:t xml:space="preserve"> and terminology of replication and reproduction. Short practice: Calculate the scores from the original and new four-record sets.</w:t>
      </w:r>
    </w:p>
    <w:p>
      <w:pPr>
        <w:spacing w:line="336" w:lineRule="auto" w:after="180"/>
      </w:pPr>
      <w:r>
        <w:rPr>
          <w:b w:val="0"/>
        </w:rPr>
        <w:t>Which activity reproduces saved analysis, which repeats the protocol, and why does a different rerun of the original data need investigation?.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Sampling variability: the case</w:t>
      </w:r>
    </w:p>
    <w:p>
      <w:r>
        <w:drawing>
          <wp:inline xmlns:a="http://schemas.openxmlformats.org/drawingml/2006/main" xmlns:pic="http://schemas.openxmlformats.org/drawingml/2006/picture">
            <wp:extent cx="5486400" cy="2834640"/>
            <wp:docPr id="4" name="Picture 4" descr="Two small samples can differ. A fixed classifier is scored on two distinct four-case samples from a declared collection. Supplied facts: Sample A has 3 correct of 4; sample B has 2 correct of 4. The model and rubric are unchanged."/>
            <wp:cNvGraphicFramePr>
              <a:graphicFrameLocks noChangeAspect="1"/>
            </wp:cNvGraphicFramePr>
            <a:graphic>
              <a:graphicData uri="http://schemas.openxmlformats.org/drawingml/2006/picture">
                <pic:pic>
                  <pic:nvPicPr>
                    <pic:cNvPr id="0" name="academy-story-ai-7-11-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small samples can differ. A fixed classifier is scored on two distinct four-case samples from a declared collection. Supplied facts: Sample A has 3 correct of 4; sample B has 2 correct of 4.</w:t>
      </w:r>
    </w:p>
    <w:p>
      <w:pPr>
        <w:spacing w:line="336" w:lineRule="auto" w:after="180"/>
      </w:pPr>
      <w:r>
        <w:rPr>
          <w:b w:val="0"/>
        </w:rPr>
        <w:t>The model and rubric are unchanged.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Keep model fixed: No training or threshold change occurs between samples. → Compute observed rates: A is 75%; B is 50%, differing by 25 percentage points. → Consider sampling: Different included cases can change a small-sample rate."/>
            <wp:cNvGraphicFramePr>
              <a:graphicFrameLocks noChangeAspect="1"/>
            </wp:cNvGraphicFramePr>
            <a:graphic>
              <a:graphicData uri="http://schemas.openxmlformats.org/drawingml/2006/picture">
                <pic:pic>
                  <pic:nvPicPr>
                    <pic:cNvPr id="0" name="academy-story-ai-7-11-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Keep model fixed: No </w:t>
      </w:r>
      <w:r>
        <w:rPr>
          <w:b/>
        </w:rPr>
        <w:t>training</w:t>
      </w:r>
      <w:r>
        <w:rPr>
          <w:b w:val="0"/>
        </w:rPr>
        <w:t xml:space="preserve"> or threshold change occurs between samples. → Compute observed rates: A is 75%; B is 50%, differing by 25 percentage points. → Consider sampling: Different included cases can change a small-sample rate.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Two distinct samples, fixed model</w:t>
      </w:r>
    </w:p>
    <w:p>
      <w:r>
        <w:drawing>
          <wp:inline xmlns:a="http://schemas.openxmlformats.org/drawingml/2006/main" xmlns:pic="http://schemas.openxmlformats.org/drawingml/2006/picture">
            <wp:extent cx="5486400" cy="2834640"/>
            <wp:docPr id="6" name="Picture 6" descr="Two distinct samples, fixed model. Units: correct cases out of 4 in each sample. Sample A: 3. Sample B: 2."/>
            <wp:cNvGraphicFramePr>
              <a:graphicFrameLocks noChangeAspect="1"/>
            </wp:cNvGraphicFramePr>
            <a:graphic>
              <a:graphicData uri="http://schemas.openxmlformats.org/drawingml/2006/picture">
                <pic:pic>
                  <pic:nvPicPr>
                    <pic:cNvPr id="0" name="academy-story-ai-7-11-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Two distinct samples, fixed model. Units: correct cases out of 4 in each sample. Sample A: 3. Sample B: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Different included cases can change a small-sample rate. Changed condition: Evaluate the exact same fixed four cases twice with deterministic predictions. Expected result: The counts should agree unless some condition, data or scoring changed. Reason: The sampling explanation no longer applies when the records are identical."/>
            <wp:cNvGraphicFramePr>
              <a:graphicFrameLocks noChangeAspect="1"/>
            </wp:cNvGraphicFramePr>
            <a:graphic>
              <a:graphicData uri="http://schemas.openxmlformats.org/drawingml/2006/picture">
                <pic:pic>
                  <pic:nvPicPr>
                    <pic:cNvPr id="0" name="academy-story-ai-7-11-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Different included cases can change a small-sample rate. Changed condition: Evaluate the exact same fixed four cases twice with deterministic </w:t>
      </w:r>
      <w:r>
        <w:rPr>
          <w:b/>
        </w:rPr>
        <w:t>prediction</w:t>
      </w:r>
      <w:r>
        <w:rPr>
          <w:b w:val="0"/>
        </w:rPr>
        <w:t>s.</w:t>
      </w:r>
    </w:p>
    <w:p>
      <w:pPr>
        <w:spacing w:line="336" w:lineRule="auto" w:after="180"/>
      </w:pPr>
      <w:r>
        <w:rPr>
          <w:b w:val="0"/>
        </w:rPr>
        <w:t>Expected result: The counts should agree unless some condition, data or scoring changed. Reason: The sampling explanation no longer applies when the records are identical.</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Sampling variability means a statistic can vary because different units were observed. Do not automatically attribute every rate change to a model improvement or deterioration. Limit: These two samples do not supply a probability model or confidence interval; none is invented."/>
            <wp:cNvGraphicFramePr>
              <a:graphicFrameLocks noChangeAspect="1"/>
            </wp:cNvGraphicFramePr>
            <a:graphic>
              <a:graphicData uri="http://schemas.openxmlformats.org/drawingml/2006/picture">
                <pic:pic>
                  <pic:nvPicPr>
                    <pic:cNvPr id="0" name="academy-story-ai-7-11-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Sampling variability</w:t>
      </w:r>
      <w:r>
        <w:rPr>
          <w:b w:val="0"/>
        </w:rPr>
        <w:t xml:space="preserve"> means a statistic can vary because different units were observed. Do not automatically attribute every rate change to a model improvement or deterioration.</w:t>
      </w:r>
    </w:p>
    <w:p>
      <w:pPr>
        <w:spacing w:line="336" w:lineRule="auto" w:after="180"/>
      </w:pPr>
      <w:r>
        <w:rPr>
          <w:b w:val="0"/>
        </w:rPr>
        <w:t>Limit: These two samples do not supply a probability model or confidence interval; none is invented.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two four-case rates and their difference. Explain how changed included cases can affect a fixed model, and why identical deterministic records should not differ on a rerun."/>
            <wp:cNvGraphicFramePr>
              <a:graphicFrameLocks noChangeAspect="1"/>
            </wp:cNvGraphicFramePr>
            <a:graphic>
              <a:graphicData uri="http://schemas.openxmlformats.org/drawingml/2006/picture">
                <pic:pic>
                  <pic:nvPicPr>
                    <pic:cNvPr id="0" name="academy-story-ai-7-11-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two four-case rates and their difference.</w:t>
      </w:r>
    </w:p>
    <w:p>
      <w:pPr>
        <w:spacing w:line="336" w:lineRule="auto" w:after="180"/>
      </w:pPr>
      <w:r>
        <w:rPr>
          <w:b w:val="0"/>
        </w:rPr>
        <w:t>Explain how changed included cases can affect a fixed model, and why identical deterministic records should not differ on a rerun.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Sampling variability: the case</w:t>
      </w:r>
    </w:p>
    <w:p>
      <w:pPr>
        <w:pStyle w:val="Heading3"/>
      </w:pPr>
      <w:r>
        <w:t>02. Follow the deciding steps</w:t>
      </w:r>
    </w:p>
    <w:p>
      <w:pPr>
        <w:pStyle w:val="Heading3"/>
      </w:pPr>
      <w:r>
        <w:t>03. Two distinct samples, fixed model</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