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ai-7/18</w:t>
      </w:r>
    </w:p>
    <w:p>
      <w:pPr>
        <w:pStyle w:val="Title"/>
      </w:pPr>
      <w:r>
        <w:t>Dataset and benchmark limitations</w:t>
      </w:r>
    </w:p>
    <w:p>
      <w:r>
        <w:t>Project: Reproducible AI Research Study</w:t>
      </w:r>
    </w:p>
    <w:p>
      <w:pPr>
        <w:pStyle w:val="Heading1"/>
      </w:pPr>
      <w:r>
        <w:t>One complete source-grouping and benchmark-coverage record.</w:t>
      </w:r>
    </w:p>
    <w:p>
      <w:r>
        <w:t>Keep row identities, weights, slice denominators, exclusions and evidence gaps together.</w:t>
      </w:r>
    </w:p>
    <w:p>
      <w:r>
        <w:t>Recall → W1–W3/W5 → independent source-count case → research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Sensitivity analysis</w:t>
      </w:r>
    </w:p>
    <w:p>
      <w:pPr>
        <w:pStyle w:val="ListBullet"/>
      </w:pPr>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pPr>
        <w:pStyle w:val="ListBullet"/>
      </w:pPr>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pPr>
        <w:pStyle w:val="ListBullet"/>
      </w:pPr>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benchmark measures its particular sources, tasks, labels and conditions. Main ten rows include three copies of one source and seven other distinct source IDs: eight distinct sources, with two extra rows beyond one per source. The repeated source has three times the row weight of each other source. Different IDs do not prove independent sampling. Preserve records and declare the unit/exclusion rule; no per-source outcomes are supplied for a deduplicated accuracy. Separate picture: nine of ten clean indoor photos are correct, giving 90% indoors. No outdoor photos are initially present, so outdoor performance is unknown, not zero. Changed scenario supplies four reserved outdoor cases, two correct: 50% outdoors. Pooling gives 11/14, approximately 78.6%, which must not replace the outdoor slice. The small slices do not establish future representativeness, cause or significance. Inspect eligibility, source dates, labels and grouping. No actual model run or photo collection is performed by the local metadata arithmetic.</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Declared source ID</w:t>
            </w:r>
          </w:p>
        </w:tc>
        <w:tc>
          <w:tcPr>
            <w:tcW w:type="dxa" w:w="3408"/>
          </w:tcPr>
          <w:p>
            <w:r>
              <w:t>Row IDs in illustrative arrangement</w:t>
            </w:r>
          </w:p>
        </w:tc>
        <w:tc>
          <w:tcPr>
            <w:tcW w:type="dxa" w:w="3408"/>
          </w:tcPr>
          <w:p>
            <w:r>
              <w:t>Row weight</w:t>
            </w:r>
          </w:p>
        </w:tc>
      </w:tr>
      <w:tr>
        <w:tc>
          <w:tcPr>
            <w:tcW w:type="dxa" w:w="3408"/>
          </w:tcPr>
          <w:p>
            <w:r>
              <w:t>S1</w:t>
            </w:r>
          </w:p>
        </w:tc>
        <w:tc>
          <w:tcPr>
            <w:tcW w:type="dxa" w:w="3408"/>
          </w:tcPr>
          <w:p>
            <w:r>
              <w:t>R1, R2, R3</w:t>
            </w:r>
          </w:p>
        </w:tc>
        <w:tc>
          <w:tcPr>
            <w:tcW w:type="dxa" w:w="3408"/>
          </w:tcPr>
          <w:p>
            <w:r>
              <w:t>3 of 10</w:t>
            </w:r>
          </w:p>
        </w:tc>
      </w:tr>
      <w:tr>
        <w:tc>
          <w:tcPr>
            <w:tcW w:type="dxa" w:w="3408"/>
          </w:tcPr>
          <w:p>
            <w:r>
              <w:t>S2</w:t>
            </w:r>
          </w:p>
        </w:tc>
        <w:tc>
          <w:tcPr>
            <w:tcW w:type="dxa" w:w="3408"/>
          </w:tcPr>
          <w:p>
            <w:r>
              <w:t>R4</w:t>
            </w:r>
          </w:p>
        </w:tc>
        <w:tc>
          <w:tcPr>
            <w:tcW w:type="dxa" w:w="3408"/>
          </w:tcPr>
          <w:p>
            <w:r>
              <w:t>1 of 10</w:t>
            </w:r>
          </w:p>
        </w:tc>
      </w:tr>
      <w:tr>
        <w:tc>
          <w:tcPr>
            <w:tcW w:type="dxa" w:w="3408"/>
          </w:tcPr>
          <w:p>
            <w:r>
              <w:t>S3</w:t>
            </w:r>
          </w:p>
        </w:tc>
        <w:tc>
          <w:tcPr>
            <w:tcW w:type="dxa" w:w="3408"/>
          </w:tcPr>
          <w:p>
            <w:r>
              <w:t>R5</w:t>
            </w:r>
          </w:p>
        </w:tc>
        <w:tc>
          <w:tcPr>
            <w:tcW w:type="dxa" w:w="3408"/>
          </w:tcPr>
          <w:p>
            <w:r>
              <w:t>1 of 10</w:t>
            </w:r>
          </w:p>
        </w:tc>
      </w:tr>
      <w:tr>
        <w:tc>
          <w:tcPr>
            <w:tcW w:type="dxa" w:w="3408"/>
          </w:tcPr>
          <w:p>
            <w:r>
              <w:t>S4</w:t>
            </w:r>
          </w:p>
        </w:tc>
        <w:tc>
          <w:tcPr>
            <w:tcW w:type="dxa" w:w="3408"/>
          </w:tcPr>
          <w:p>
            <w:r>
              <w:t>R6</w:t>
            </w:r>
          </w:p>
        </w:tc>
        <w:tc>
          <w:tcPr>
            <w:tcW w:type="dxa" w:w="3408"/>
          </w:tcPr>
          <w:p>
            <w:r>
              <w:t>1 of 10</w:t>
            </w:r>
          </w:p>
        </w:tc>
      </w:tr>
      <w:tr>
        <w:tc>
          <w:tcPr>
            <w:tcW w:type="dxa" w:w="3408"/>
          </w:tcPr>
          <w:p>
            <w:r>
              <w:t>S5</w:t>
            </w:r>
          </w:p>
        </w:tc>
        <w:tc>
          <w:tcPr>
            <w:tcW w:type="dxa" w:w="3408"/>
          </w:tcPr>
          <w:p>
            <w:r>
              <w:t>R7</w:t>
            </w:r>
          </w:p>
        </w:tc>
        <w:tc>
          <w:tcPr>
            <w:tcW w:type="dxa" w:w="3408"/>
          </w:tcPr>
          <w:p>
            <w:r>
              <w:t>1 of 10</w:t>
            </w:r>
          </w:p>
        </w:tc>
      </w:tr>
      <w:tr>
        <w:tc>
          <w:tcPr>
            <w:tcW w:type="dxa" w:w="3408"/>
          </w:tcPr>
          <w:p>
            <w:r>
              <w:t>S6</w:t>
            </w:r>
          </w:p>
        </w:tc>
        <w:tc>
          <w:tcPr>
            <w:tcW w:type="dxa" w:w="3408"/>
          </w:tcPr>
          <w:p>
            <w:r>
              <w:t>R8</w:t>
            </w:r>
          </w:p>
        </w:tc>
        <w:tc>
          <w:tcPr>
            <w:tcW w:type="dxa" w:w="3408"/>
          </w:tcPr>
          <w:p>
            <w:r>
              <w:t>1 of 10</w:t>
            </w:r>
          </w:p>
        </w:tc>
      </w:tr>
      <w:tr>
        <w:tc>
          <w:tcPr>
            <w:tcW w:type="dxa" w:w="3408"/>
          </w:tcPr>
          <w:p>
            <w:r>
              <w:t>S7</w:t>
            </w:r>
          </w:p>
        </w:tc>
        <w:tc>
          <w:tcPr>
            <w:tcW w:type="dxa" w:w="3408"/>
          </w:tcPr>
          <w:p>
            <w:r>
              <w:t>R9</w:t>
            </w:r>
          </w:p>
        </w:tc>
        <w:tc>
          <w:tcPr>
            <w:tcW w:type="dxa" w:w="3408"/>
          </w:tcPr>
          <w:p>
            <w:r>
              <w:t>1 of 10</w:t>
            </w:r>
          </w:p>
        </w:tc>
      </w:tr>
      <w:tr>
        <w:tc>
          <w:tcPr>
            <w:tcW w:type="dxa" w:w="3408"/>
          </w:tcPr>
          <w:p>
            <w:r>
              <w:t>S8</w:t>
            </w:r>
          </w:p>
        </w:tc>
        <w:tc>
          <w:tcPr>
            <w:tcW w:type="dxa" w:w="3408"/>
          </w:tcPr>
          <w:p>
            <w:r>
              <w:t>R10</w:t>
            </w:r>
          </w:p>
        </w:tc>
        <w:tc>
          <w:tcPr>
            <w:tcW w:type="dxa" w:w="3408"/>
          </w:tcPr>
          <w:p>
            <w:r>
              <w:t>1 of 10</w:t>
            </w:r>
          </w:p>
        </w:tc>
      </w:tr>
      <w:tr>
        <w:tc>
          <w:tcPr>
            <w:tcW w:type="dxa" w:w="3408"/>
          </w:tcPr>
          <w:p>
            <w:r>
              <w:t>Total</w:t>
            </w:r>
          </w:p>
        </w:tc>
        <w:tc>
          <w:tcPr>
            <w:tcW w:type="dxa" w:w="3408"/>
          </w:tcPr>
          <w:p>
            <w:r>
              <w:t>Ten rows; eight distinct IDs</w:t>
            </w:r>
          </w:p>
        </w:tc>
        <w:tc>
          <w:tcPr>
            <w:tcW w:type="dxa" w:w="3408"/>
          </w:tcPr>
          <w:p>
            <w:r>
              <w:t>S1 receives triple row weight</w:t>
            </w:r>
          </w:p>
        </w:tc>
      </w:tr>
      <w:tr>
        <w:tc>
          <w:tcPr>
            <w:tcW w:type="dxa" w:w="3408"/>
          </w:tcPr>
          <w:p>
            <w:r>
              <w:t>Evidence limit</w:t>
            </w:r>
          </w:p>
        </w:tc>
        <w:tc>
          <w:tcPr>
            <w:tcW w:type="dxa" w:w="3408"/>
          </w:tcPr>
          <w:p>
            <w:r>
              <w:t>IDs illustrate supplied arrangement</w:t>
            </w:r>
          </w:p>
        </w:tc>
        <w:tc>
          <w:tcPr>
            <w:tcW w:type="dxa" w:w="3408"/>
          </w:tcPr>
          <w:p>
            <w:r>
              <w:t>No labels or independent sampling inferred</w:t>
            </w:r>
          </w:p>
        </w:tc>
      </w:tr>
    </w:tbl>
    <w:p>
      <w:pPr>
        <w:pStyle w:val="ListBullet"/>
      </w:pPr>
      <w:r>
        <w:t>A benchmark measures its particular sources, tasks, labels and conditions. Main ten rows include three copies of one source and seven other distinct source IDs: eight distinct sources, with two extra rows beyond one per source. The repeated source has three times the row weight of each other source. Different IDs do not prove independent sampling. Preserve records and declare the unit/exclusion rule; no per-source outcomes are supplied for a deduplicated accuracy. Separate picture: nine of ten clean indoor photos are correct, giving 90% indoors. No outdoor photos are initially present, so outdoor performance is unknown, not zero. Changed scenario supplies four reserved outdoor cases, two correct: 50% outdoors. Pooling gives 11/14, approximately 78.6%, which must not replace the outdoor slice. The small slices do not establish future representativeness, cause or significance. Inspect eligibility, source dates, labels and grouping. No actual model run or photo collection is performed by the local metadata arithmetic.</w:t>
      </w:r>
    </w:p>
    <w:p>
      <w:pPr>
        <w:pStyle w:val="ListBullet"/>
      </w:pPr>
      <w:r>
        <w:t>Ten benchmark rows include three copies of one source and seven other unique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benchmark measures its particular sources, tasks, labels and conditions. Main ten rows include three copies of one source and seven other distinct source IDs: eight distinct sources, with two extra rows beyond one per source. The repeated source has three times the row weight of each other source. Different IDs do not prove independent sampling. Preserve records and declare the unit/exclusion rule; no per-source outcomes are supplied for a deduplicated accuracy. Separate picture: nine of ten clean indoor photos are correct, giving 90% indoors. No outdoor photos are initially present, so outdoor performance is unknown, not zero. Changed scenario supplies four reserved outdoor cases, two correct: 50% outdoors. Pooling gives 11/14, approximately 78.6%, which must not replace the outdoor slice. The small slices do not establish future representativeness, cause or significance. Inspect eligibility, source dates, labels and grouping. No actual model run or photo collection is performed by the local metadata arithmetic.</w:t>
      </w:r>
    </w:p>
    <w:p>
      <w:pPr>
        <w:pStyle w:val="ListBullet"/>
      </w:pPr>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benchmark measures its particular sources, tasks, labels and conditions. Main ten rows include three copies of one source and seven other distinct source IDs: eight distinct sources, with two extra rows beyond one per source. The repeated source has three times the row weight of each other source. Different IDs do not prove independent sampling. Preserve records and declare the unit/exclusion rule; no per-source outcomes are supplied for a deduplicated accuracy. Separate picture: nine of ten clean indoor photos are correct, giving 90% indoors. No outdoor photos are initially present, so outdoor performance is unknown, not zero. Changed scenario supplies four reserved outdoor cases, two correct: 50% outdoors. Pooling gives 11/14, approximately 78.6%, which must not replace the outdoor slice. The small slices do not establish future representativeness, cause or significance. Inspect eligibility, source dates, labels and grouping. No actual model run or photo collection is performed by the local metadata arithmetic.</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Dataset and benchmark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Dataset and benchmark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Twelve rows include four copies of one source and eight others. Count unique units and name one coverage concern.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3029913"/>
            <wp:docPr id="1" name="Picture 1" descr="Indoor benchmark has nine correct of ten, or ninety percent. Outdoor shade initially has no measured cases, so performance is unknown. Changed scenario supplies two correct of four outdoor cases, or fifty percent; pooling gives eleven of fourteen, approximately seventy-eight point six percent, which is not the outdoor rate."/>
            <wp:cNvGraphicFramePr>
              <a:graphicFrameLocks noChangeAspect="1"/>
            </wp:cNvGraphicFramePr>
            <a:graphic>
              <a:graphicData uri="http://schemas.openxmlformats.org/drawingml/2006/picture">
                <pic:pic>
                  <pic:nvPicPr>
                    <pic:cNvPr id="0" name="ai-7-18-benchmark-coverage.png"/>
                    <pic:cNvPicPr/>
                  </pic:nvPicPr>
                  <pic:blipFill>
                    <a:blip r:embed="rId9"/>
                    <a:stretch>
                      <a:fillRect/>
                    </a:stretch>
                  </pic:blipFill>
                  <pic:spPr>
                    <a:xfrm>
                      <a:off x="0" y="0"/>
                      <a:ext cx="5486400" cy="3029913"/>
                    </a:xfrm>
                    <a:prstGeom prst="rect"/>
                  </pic:spPr>
                </pic:pic>
              </a:graphicData>
            </a:graphic>
          </wp:inline>
        </w:drawing>
      </w:r>
    </w:p>
    <w:p>
      <w:pPr>
        <w:pStyle w:val="ListBullet"/>
      </w:pPr>
      <w:r>
        <w:t>A benchmark can miss the intended setting. A plant model is evaluated on clean indoor photos but proposed for shaded outdoor photos.</w:t>
      </w:r>
    </w:p>
    <w:p>
      <w:pPr>
        <w:pStyle w:val="ListBullet"/>
      </w:pPr>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2" name="Picture 2"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1"/>
                    <a:stretch>
                      <a:fillRect/>
                    </a:stretch>
                  </pic:blipFill>
                  <pic:spPr>
                    <a:xfrm>
                      <a:off x="0" y="0"/>
                      <a:ext cx="5486400" cy="5145314"/>
                    </a:xfrm>
                    <a:prstGeom prst="rect"/>
                  </pic:spPr>
                </pic:pic>
              </a:graphicData>
            </a:graphic>
          </wp:inline>
        </w:drawing>
      </w:r>
    </w:p>
    <w:p>
      <w:pPr>
        <w:pStyle w:val="ListBullet"/>
      </w:pPr>
      <w:r>
        <w:t>Report the indoor benchmark with its denominator and missing condition. After two correct outdoor cases out of four are added, what slice rate is supported and what remains uncertain?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benchmark can miss the intended setting. A plant model is evaluated on clean indoor photos but proposed for shaded outdoor photos.</w:t>
      </w:r>
    </w:p>
    <w:p>
      <w:pPr>
        <w:pStyle w:val="Heading3"/>
      </w:pPr>
      <w:r>
        <w:t>Practice 1: explain the deciding evidence</w:t>
      </w:r>
    </w:p>
    <w:p>
      <w:pPr>
        <w:pStyle w:val="ListBullet"/>
      </w:pPr>
      <w:r>
        <w:t>Which labelled step matches this detail? Outdoor shade performance remains unmeasured.</w:t>
      </w:r>
    </w:p>
    <w:p>
      <w:pPr>
        <w:pStyle w:val="ListBullet"/>
      </w:pPr>
      <w:r>
        <w:t>1. Report the result</w:t>
      </w:r>
    </w:p>
    <w:p>
      <w:pPr>
        <w:pStyle w:val="ListBullet"/>
      </w:pPr>
      <w:r>
        <w:t>2. Name measured setting</w:t>
      </w:r>
    </w:p>
    <w:p>
      <w:pPr>
        <w:pStyle w:val="ListBullet"/>
      </w:pPr>
      <w:r>
        <w:t>3. Name missing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Name missing </w:t>
      </w:r>
      <w:r>
        <w:rPr>
          <w:b/>
        </w:rPr>
        <w:t>evidence</w:t>
      </w:r>
      <w:r>
        <w:rPr>
          <w:b w:val="0"/>
        </w:rPr>
        <w:t xml:space="preserve"> Outdoor shade performance remains unmeasured. A </w:t>
      </w:r>
      <w:r>
        <w:rPr>
          <w:b/>
        </w:rPr>
        <w:t>benchmark</w:t>
      </w:r>
      <w:r>
        <w:rPr>
          <w:b w:val="0"/>
        </w:rPr>
        <w:t xml:space="preserve"> represents particular tasks and collection conditions.</w:t>
      </w:r>
    </w:p>
    <w:p>
      <w:pPr>
        <w:spacing w:line="336" w:lineRule="auto" w:after="180"/>
      </w:pPr>
      <w:r>
        <w:rPr>
          <w:b w:val="0"/>
        </w:rPr>
        <w:t>High performance on it cannot automatically establish fitness for a different deployment setting.</w:t>
      </w:r>
    </w:p>
    <w:p>
      <w:pPr>
        <w:pStyle w:val="Heading2"/>
      </w:pPr>
      <w:r>
        <w:t>Changed-case question and optional hint</w:t>
      </w:r>
    </w:p>
    <w:p>
      <w:pPr>
        <w:pStyle w:val="Heading3"/>
      </w:pPr>
      <w:r>
        <w:t>Practice 2: explain the deciding evidence</w:t>
      </w:r>
    </w:p>
    <w:p>
      <w:pPr>
        <w:pStyle w:val="ListBullet"/>
      </w:pPr>
      <w:r>
        <w:t>Changed-case practice: Add four reserved outdoor cases, of which two are correct. Which conclusion is supported by the supplied facts?</w:t>
      </w:r>
    </w:p>
    <w:p>
      <w:pPr>
        <w:pStyle w:val="ListBullet"/>
      </w:pPr>
      <w:r>
        <w:t>1. Report the outdoor slice as 2/4=50%, separately from indoor results.</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Report the outdoor slice as 2/4=50%, separately from indoor results. The new records finally measure the missing condition, with a small denominator.</w:t>
      </w:r>
    </w:p>
    <w:p>
      <w:pPr>
        <w:pStyle w:val="Heading2"/>
      </w:pPr>
      <w:r>
        <w:t>Repair and retain the record</w:t>
      </w:r>
    </w:p>
    <w:p>
      <w:pPr>
        <w:spacing w:line="336" w:lineRule="auto" w:after="180"/>
      </w:pPr>
      <w:r>
        <w:rPr>
          <w:b w:val="0"/>
        </w:rPr>
        <w:t xml:space="preserve">Review Sensitivity analysis (ai-7/17). Goal: Explain the </w:t>
      </w:r>
      <w:r>
        <w:rPr>
          <w:b/>
        </w:rPr>
        <w:t>mechanism</w:t>
      </w:r>
      <w:r>
        <w:rPr>
          <w:b w:val="0"/>
        </w:rPr>
        <w:t xml:space="preserve"> and terminology of sensitivity analysis. Short practice: Classify 0.4, 0.6 and 0.8 at cutoffs 0.5, 0.7 and exactly 0.6.</w:t>
      </w:r>
    </w:p>
    <w:p>
      <w:pPr>
        <w:spacing w:line="336" w:lineRule="auto" w:after="180"/>
      </w:pPr>
      <w:r>
        <w:rPr>
          <w:b w:val="0"/>
        </w:rPr>
        <w:t>Which equality rule decides the boundary, and can these unlabelled scores identify the best cutoff?. Return to this week and explain what you changed.</w:t>
      </w:r>
    </w:p>
    <w:p>
      <w:pPr>
        <w:spacing w:line="336" w:lineRule="auto" w:after="180"/>
      </w:pPr>
      <w:r>
        <w:rPr>
          <w:b w:val="0"/>
        </w:rPr>
        <w:t xml:space="preserve">Review Multiple comparisons (ai-7/15). Goal: Explain the </w:t>
      </w:r>
      <w:r>
        <w:rPr>
          <w:b/>
        </w:rPr>
        <w:t>mechanism</w:t>
      </w:r>
      <w:r>
        <w:rPr>
          <w:b w:val="0"/>
        </w:rPr>
        <w:t xml:space="preserve"> and terminology of multiple comparisons. Short practice: Calculate the six-test cutoff and identify which supplied p-values reject.</w:t>
      </w:r>
    </w:p>
    <w:p>
      <w:pPr>
        <w:spacing w:line="336" w:lineRule="auto" w:after="180"/>
      </w:pPr>
      <w:r>
        <w:rPr>
          <w:b w:val="0"/>
        </w:rPr>
        <w:t>Why must the team count every planned comparison rather than report only its smallest p-value?. Return to this week and explain what you changed.</w:t>
      </w:r>
    </w:p>
    <w:p>
      <w:pPr>
        <w:spacing w:line="336" w:lineRule="auto" w:after="180"/>
      </w:pPr>
      <w:r>
        <w:rPr>
          <w:b w:val="0"/>
        </w:rPr>
        <w:t xml:space="preserve">Review Uncertainty intervals (ai-7/12). Goal: Explain the </w:t>
      </w:r>
      <w:r>
        <w:rPr>
          <w:b/>
        </w:rPr>
        <w:t>mechanism</w:t>
      </w:r>
      <w:r>
        <w:rPr>
          <w:b w:val="0"/>
        </w:rPr>
        <w:t xml:space="preserve"> and terminology of uncertainty intervals. Short practice: Locate -0.8 and zero relative to the supplied interval [-1.4,-0.2].</w:t>
      </w:r>
    </w:p>
    <w:p>
      <w:pPr>
        <w:spacing w:line="336" w:lineRule="auto" w:after="180"/>
      </w:pPr>
      <w:r>
        <w:rPr>
          <w:b w:val="0"/>
        </w:rPr>
        <w:t>Interpret the sign and confidence-method meaning, then describe what changes with interval [-1.4,0.3]..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Dataset and benchmark limitations: the case</w:t>
      </w:r>
    </w:p>
    <w:p>
      <w:r>
        <w:drawing>
          <wp:inline xmlns:a="http://schemas.openxmlformats.org/drawingml/2006/main" xmlns:pic="http://schemas.openxmlformats.org/drawingml/2006/picture">
            <wp:extent cx="5486400" cy="2834640"/>
            <wp:docPr id="4" name="Picture 4" descr="A benchmark can miss the intended setting. A plant model is evaluated on clean indoor photos but proposed for shaded outdoor photos. Supplied facts: Indoor benchmark: 9/10 correct. No outdoor cases are present. The same model is intended for both."/>
            <wp:cNvGraphicFramePr>
              <a:graphicFrameLocks noChangeAspect="1"/>
            </wp:cNvGraphicFramePr>
            <a:graphic>
              <a:graphicData uri="http://schemas.openxmlformats.org/drawingml/2006/picture">
                <pic:pic>
                  <pic:nvPicPr>
                    <pic:cNvPr id="0" name="academy-story-ai-7-1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can miss the intended setting. A plant model is evaluated on clean indoor photos but proposed for shaded outdoor photos. Supplied facts: Indoor </w:t>
      </w:r>
      <w:r>
        <w:rPr>
          <w:b/>
        </w:rPr>
        <w:t>benchmark</w:t>
      </w:r>
      <w:r>
        <w:rPr>
          <w:b w:val="0"/>
        </w:rPr>
        <w:t>: 9/10 correct. No outdoor cases are present.</w:t>
      </w:r>
    </w:p>
    <w:p>
      <w:pPr>
        <w:spacing w:line="336" w:lineRule="auto" w:after="180"/>
      </w:pPr>
      <w:r>
        <w:rPr>
          <w:b w:val="0"/>
        </w:rPr>
        <w:t>The same model is intended for both.</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Name measured setting: All ten benchmark images are clean indoor photos. → Report the result: The observed indoor score is 90%. → Name missing evidence: Outdoor shade performance remains unmeasured."/>
            <wp:cNvGraphicFramePr>
              <a:graphicFrameLocks noChangeAspect="1"/>
            </wp:cNvGraphicFramePr>
            <a:graphic>
              <a:graphicData uri="http://schemas.openxmlformats.org/drawingml/2006/picture">
                <pic:pic>
                  <pic:nvPicPr>
                    <pic:cNvPr id="0" name="academy-story-ai-7-18-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Name measured setting: All ten </w:t>
      </w:r>
      <w:r>
        <w:rPr>
          <w:b/>
        </w:rPr>
        <w:t>benchmark</w:t>
      </w:r>
      <w:r>
        <w:rPr>
          <w:b w:val="0"/>
        </w:rPr>
        <w:t xml:space="preserve"> images are clean indoor photos. → Report the result: The observed indoor score is 90%. → Name missing </w:t>
      </w:r>
      <w:r>
        <w:rPr>
          <w:b/>
        </w:rPr>
        <w:t>evidence</w:t>
      </w:r>
      <w:r>
        <w:rPr>
          <w:b w:val="0"/>
        </w:rPr>
        <w:t>: Outdoor shade performance remains unmeasured.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Benchmark conditions</w:t>
      </w:r>
    </w:p>
    <w:p>
      <w:r>
        <w:drawing>
          <wp:inline xmlns:a="http://schemas.openxmlformats.org/drawingml/2006/main" xmlns:pic="http://schemas.openxmlformats.org/drawingml/2006/picture">
            <wp:extent cx="5486400" cy="3096768"/>
            <wp:docPr id="6" name="Picture 6" descr="Benchmark conditions. Indoor benchmark: Correct = 9, Total = 10. Added outdoor slice: Correct = 2, Total = 4."/>
            <wp:cNvGraphicFramePr>
              <a:graphicFrameLocks noChangeAspect="1"/>
            </wp:cNvGraphicFramePr>
            <a:graphic>
              <a:graphicData uri="http://schemas.openxmlformats.org/drawingml/2006/picture">
                <pic:pic>
                  <pic:nvPicPr>
                    <pic:cNvPr id="0" name="academy-story-ai-7-18-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rPr>
        <w:t>Benchmark</w:t>
      </w:r>
      <w:r>
        <w:rPr>
          <w:b w:val="0"/>
        </w:rPr>
        <w:t xml:space="preserve"> conditions. Indoor </w:t>
      </w:r>
      <w:r>
        <w:rPr>
          <w:b/>
        </w:rPr>
        <w:t>benchmark</w:t>
      </w:r>
      <w:r>
        <w:rPr>
          <w:b w:val="0"/>
        </w:rPr>
        <w:t>: Correct = 9, Total = 10. Added outdoor slice: Correct = 2, Total = 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Outdoor shade performance remains unmeasured. Changed condition: Add four reserved outdoor cases, of which two are correct. Expected result: Report the outdoor slice as 2/4=50%, separately from indoor results. Reason: The new records finally measure the missing condition, with a small denominator."/>
            <wp:cNvGraphicFramePr>
              <a:graphicFrameLocks noChangeAspect="1"/>
            </wp:cNvGraphicFramePr>
            <a:graphic>
              <a:graphicData uri="http://schemas.openxmlformats.org/drawingml/2006/picture">
                <pic:pic>
                  <pic:nvPicPr>
                    <pic:cNvPr id="0" name="academy-story-ai-7-18-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Outdoor shade performance remains unmeasured. Changed condition: Add four reserved outdoor cases, of which two are correct. Expected result: Report the outdoor slice as 2/4=50%, separately from indoor results.</w:t>
      </w:r>
    </w:p>
    <w:p>
      <w:pPr>
        <w:spacing w:line="336" w:lineRule="auto" w:after="180"/>
      </w:pPr>
      <w:r>
        <w:rPr>
          <w:b w:val="0"/>
        </w:rPr>
        <w:t>Reason: The new records finally measure the missing condition, with a small denominator.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benchmark represents particular tasks and collection conditions. High performance on it cannot automatically establish fitness for a different deployment setting. Limit: Neither slice estimates all future photos; inspect sampling, labels and grouping."/>
            <wp:cNvGraphicFramePr>
              <a:graphicFrameLocks noChangeAspect="1"/>
            </wp:cNvGraphicFramePr>
            <a:graphic>
              <a:graphicData uri="http://schemas.openxmlformats.org/drawingml/2006/picture">
                <pic:pic>
                  <pic:nvPicPr>
                    <pic:cNvPr id="0" name="academy-story-ai-7-18-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represents particular tasks and collection conditions. High performance on it cannot automatically establish fitness for a different deployment setting.</w:t>
      </w:r>
    </w:p>
    <w:p>
      <w:pPr>
        <w:spacing w:line="336" w:lineRule="auto" w:after="180"/>
      </w:pPr>
      <w:r>
        <w:rPr>
          <w:b w:val="0"/>
        </w:rPr>
        <w:t>Limit: Neither slice estimates all future photos; inspect sampling, labels and grouping.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Report the indoor benchmark with its denominator and missing condition. After two correct outdoor cases out of four are added, what slice rate is supported and what remains uncertain?"/>
            <wp:cNvGraphicFramePr>
              <a:graphicFrameLocks noChangeAspect="1"/>
            </wp:cNvGraphicFramePr>
            <a:graphic>
              <a:graphicData uri="http://schemas.openxmlformats.org/drawingml/2006/picture">
                <pic:pic>
                  <pic:nvPicPr>
                    <pic:cNvPr id="0" name="academy-story-ai-7-18-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Report the indoor </w:t>
      </w:r>
      <w:r>
        <w:rPr>
          <w:b/>
        </w:rPr>
        <w:t>benchmark</w:t>
      </w:r>
      <w:r>
        <w:rPr>
          <w:b w:val="0"/>
        </w:rPr>
        <w:t xml:space="preserve"> with its denominator and missing condition.</w:t>
      </w:r>
    </w:p>
    <w:p>
      <w:pPr>
        <w:spacing w:line="336" w:lineRule="auto" w:after="180"/>
      </w:pPr>
      <w:r>
        <w:rPr>
          <w:b w:val="0"/>
        </w:rPr>
        <w:t>After two correct outdoor cases out of four are added, what slice rate is supported and what remains uncertain?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Dataset and benchmark limitations: the case</w:t>
      </w:r>
    </w:p>
    <w:p>
      <w:pPr>
        <w:pStyle w:val="Heading3"/>
      </w:pPr>
      <w:r>
        <w:t>02. Follow the deciding steps</w:t>
      </w:r>
    </w:p>
    <w:p>
      <w:pPr>
        <w:pStyle w:val="Heading3"/>
      </w:pPr>
      <w:r>
        <w:t>03. Benchmark conditions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