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ai-7/19</w:t>
      </w:r>
    </w:p>
    <w:p>
      <w:pPr>
        <w:pStyle w:val="Title"/>
      </w:pPr>
      <w:r>
        <w:t>Research ethics and consent</w:t>
      </w:r>
    </w:p>
    <w:p>
      <w:r>
        <w:t>Project: Reproducible AI Research Study</w:t>
      </w:r>
    </w:p>
    <w:p>
      <w:pPr>
        <w:pStyle w:val="Heading1"/>
      </w:pPr>
      <w:r>
        <w:t>One complete fictional proposal and permission audit.</w:t>
      </w:r>
    </w:p>
    <w:p>
      <w:r>
        <w:t>Keep purpose, conditions, supplied evidence, proposed repair and unperformed actions together.</w:t>
      </w:r>
    </w:p>
    <w:p>
      <w:r>
        <w:t>Recall → W1–W3/W5 → independent opt-in scenario → research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Dataset and benchmark limitations</w:t>
      </w:r>
    </w:p>
    <w:p>
      <w:pPr>
        <w:pStyle w:val="ListBullet"/>
      </w:pPr>
      <w:r>
        <w:t>Without opening the old lesson, explain one key idea from Dataset and benchmark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Ablation studies</w:t>
      </w:r>
    </w:p>
    <w:p>
      <w:pPr>
        <w:pStyle w:val="ListBullet"/>
      </w:pPr>
      <w:r>
        <w:t>Without opening the old lesson, explain one key idea from Ablation studies.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Effect size and practical importance</w:t>
      </w:r>
    </w:p>
    <w:p>
      <w:pPr>
        <w:pStyle w:val="ListBullet"/>
      </w:pPr>
      <w:r>
        <w:t>Without opening the old lesson, explain one key idea from Effect size and practical importance.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This lesson audits fictional proposals under a supplied classroom policy; it performs no recruitment or real data collection. The policy calls for responsible review, plain-language purpose, affirmative opt-in and withdrawal handling before an actual collection. Submission for grading does not establish permission to copy essays into a study. Use fictional substitutes in this course. A proposed form or remedy does not prove review or consent occurred. Separate fictional adult drawing agreement covers one named pattern-recognition investigation and excludes public posting of originals and unrelated face-recognition research. A new request does not authorize excluded uses. Even a named use still needs its other review and handling conditions. The picture describes anonymous drawings without a traceable withdrawal mechanism; do not invent an ability to find every unlinked contribution. Explain declared withdrawal limits before participation. The adult example does not approve research with children or determine real institutional/legal requirements. Keep purpose, voluntary choice, burden, readers and handling visible in the paper audit.</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proposal step</w:t>
            </w:r>
          </w:p>
        </w:tc>
        <w:tc>
          <w:tcPr>
            <w:tcW w:type="dxa" w:w="3408"/>
          </w:tcPr>
          <w:p>
            <w:r>
              <w:t>Evidence supplied</w:t>
            </w:r>
          </w:p>
        </w:tc>
        <w:tc>
          <w:tcPr>
            <w:tcW w:type="dxa" w:w="3408"/>
          </w:tcPr>
          <w:p>
            <w:r>
              <w:t>Audit result under this policy</w:t>
            </w:r>
          </w:p>
        </w:tc>
      </w:tr>
      <w:tr>
        <w:tc>
          <w:tcPr>
            <w:tcW w:type="dxa" w:w="3408"/>
          </w:tcPr>
          <w:p>
            <w:r>
              <w:t>Student submits essay</w:t>
            </w:r>
          </w:p>
        </w:tc>
        <w:tc>
          <w:tcPr>
            <w:tcW w:type="dxa" w:w="3408"/>
          </w:tcPr>
          <w:p>
            <w:r>
              <w:t>Submission is for grading</w:t>
            </w:r>
          </w:p>
        </w:tc>
        <w:tc>
          <w:tcPr>
            <w:tcW w:type="dxa" w:w="3408"/>
          </w:tcPr>
          <w:p>
            <w:r>
              <w:t>Supports the grading purpose only</w:t>
            </w:r>
          </w:p>
        </w:tc>
      </w:tr>
      <w:tr>
        <w:tc>
          <w:tcPr>
            <w:tcW w:type="dxa" w:w="3408"/>
          </w:tcPr>
          <w:p>
            <w:r>
              <w:t>Team proposes automatic study copy</w:t>
            </w:r>
          </w:p>
        </w:tc>
        <w:tc>
          <w:tcPr>
            <w:tcW w:type="dxa" w:w="3408"/>
          </w:tcPr>
          <w:p>
            <w:r>
              <w:t>No separate research opt-in or review supplied</w:t>
            </w:r>
          </w:p>
        </w:tc>
        <w:tc>
          <w:tcPr>
            <w:tcW w:type="dxa" w:w="3408"/>
          </w:tcPr>
          <w:p>
            <w:r>
              <w:t>Research permission is not established</w:t>
            </w:r>
          </w:p>
        </w:tc>
      </w:tr>
      <w:tr>
        <w:tc>
          <w:tcPr>
            <w:tcW w:type="dxa" w:w="3408"/>
          </w:tcPr>
          <w:p>
            <w:r>
              <w:t>Assume submission implies agreement</w:t>
            </w:r>
          </w:p>
        </w:tc>
        <w:tc>
          <w:tcPr>
            <w:tcW w:type="dxa" w:w="3408"/>
          </w:tcPr>
          <w:p>
            <w:r>
              <w:t>Purpose changes without its required process</w:t>
            </w:r>
          </w:p>
        </w:tc>
        <w:tc>
          <w:tcPr>
            <w:tcW w:type="dxa" w:w="3408"/>
          </w:tcPr>
          <w:p>
            <w:r>
              <w:t>Unsupported inference</w:t>
            </w:r>
          </w:p>
        </w:tc>
      </w:tr>
      <w:tr>
        <w:tc>
          <w:tcPr>
            <w:tcW w:type="dxa" w:w="3408"/>
          </w:tcPr>
          <w:p>
            <w:r>
              <w:t>Repair for this course</w:t>
            </w:r>
          </w:p>
        </w:tc>
        <w:tc>
          <w:tcPr>
            <w:tcW w:type="dxa" w:w="3408"/>
          </w:tcPr>
          <w:p>
            <w:r>
              <w:t>Use fictional essay substitutes</w:t>
            </w:r>
          </w:p>
        </w:tc>
        <w:tc>
          <w:tcPr>
            <w:tcW w:type="dxa" w:w="3408"/>
          </w:tcPr>
          <w:p>
            <w:r>
              <w:t>No real records need to be copied</w:t>
            </w:r>
          </w:p>
        </w:tc>
      </w:tr>
      <w:tr>
        <w:tc>
          <w:tcPr>
            <w:tcW w:type="dxa" w:w="3408"/>
          </w:tcPr>
          <w:p>
            <w:r>
              <w:t>Any actual future study</w:t>
            </w:r>
          </w:p>
        </w:tc>
        <w:tc>
          <w:tcPr>
            <w:tcW w:type="dxa" w:w="3408"/>
          </w:tcPr>
          <w:p>
            <w:r>
              <w:t>Required review and voluntary permission before collection</w:t>
            </w:r>
          </w:p>
        </w:tc>
        <w:tc>
          <w:tcPr>
            <w:tcW w:type="dxa" w:w="3408"/>
          </w:tcPr>
          <w:p>
            <w:r>
              <w:t>Not performed or approved by this exercise</w:t>
            </w:r>
          </w:p>
        </w:tc>
      </w:tr>
    </w:tbl>
    <w:p>
      <w:pPr>
        <w:pStyle w:val="ListBullet"/>
      </w:pPr>
      <w:r>
        <w:t>This lesson audits fictional proposals under a supplied classroom policy; it performs no recruitment or real data collection. The policy calls for responsible review, plain-language purpose, affirmative opt-in and withdrawal handling before an actual collection. Submission for grading does not establish permission to copy essays into a study. Use fictional substitutes in this course. A proposed form or remedy does not prove review or consent occurred. Separate fictional adult drawing agreement covers one named pattern-recognition investigation and excludes public posting of originals and unrelated face-recognition research. A new request does not authorize excluded uses. Even a named use still needs its other review and handling conditions. The picture describes anonymous drawings without a traceable withdrawal mechanism; do not invent an ability to find every unlinked contribution. Explain declared withdrawal limits before participation. The adult example does not approve research with children or determine real institutional/legal requirements. Keep purpose, voluntary choice, burden, readers and handling visible in the paper audit.</w:t>
      </w:r>
    </w:p>
    <w:p>
      <w:pPr>
        <w:pStyle w:val="ListBullet"/>
      </w:pPr>
      <w:r>
        <w:t>Proposal automatically copies student essays into a study because they were submitted for grading.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This lesson audits fictional proposals under a supplied classroom policy; it performs no recruitment or real data collection. The policy calls for responsible review, plain-language purpose, affirmative opt-in and withdrawal handling before an actual collection. Submission for grading does not establish permission to copy essays into a study. Use fictional substitutes in this course. A proposed form or remedy does not prove review or consent occurred. Separate fictional adult drawing agreement covers one named pattern-recognition investigation and excludes public posting of originals and unrelated face-recognition research. A new request does not authorize excluded uses. Even a named use still needs its other review and handling conditions. The picture describes anonymous drawings without a traceable withdrawal mechanism; do not invent an ability to find every unlinked contribution. Explain declared withdrawal limits before participation. The adult example does not approve research with children or determine real institutional/legal requirements. Keep purpose, voluntary choice, burden, readers and handling visible in the paper audit.</w:t>
      </w:r>
    </w:p>
    <w:p>
      <w:pPr>
        <w:pStyle w:val="ListBullet"/>
      </w:pPr>
      <w:r>
        <w:t>A report omits this qualification: This classroom policy exercise does not determine real legal or institutional requirements.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This lesson audits fictional proposals under a supplied classroom policy; it performs no recruitment or real data collection. The policy calls for responsible review, plain-language purpose, affirmative opt-in and withdrawal handling before an actual collection. Submission for grading does not establish permission to copy essays into a study. Use fictional substitutes in this course. A proposed form or remedy does not prove review or consent occurred. Separate fictional adult drawing agreement covers one named pattern-recognition investigation and excludes public posting of originals and unrelated face-recognition research. A new request does not authorize excluded uses. Even a named use still needs its other review and handling conditions. The picture describes anonymous drawings without a traceable withdrawal mechanism; do not invent an ability to find every unlinked contribution. Explain declared withdrawal limits before participation. The adult example does not approve research with children or determine real institutional/legal requirements. Keep purpose, voluntary choice, burden, readers and handling visible in the paper audit.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A fictional policy requires opt-in; proposal treats silence as agreement and grades participation. Audit.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research ethics and consent evidence sheet to Reproducible AI Research Study. Show how you can explain the mechanism and terminology of research ethics and consent.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Research ethics and consent.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Research ethics and consent.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A fictional policy requires opt-in; proposal treats silence as agreement and grades participation. Audit.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r>
        <w:drawing>
          <wp:inline xmlns:a="http://schemas.openxmlformats.org/drawingml/2006/main" xmlns:pic="http://schemas.openxmlformats.org/drawingml/2006/picture">
            <wp:extent cx="5486400" cy="3029913"/>
            <wp:docPr id="1" name="Picture 1" descr="Fictional adult drawing agreement covers one named pattern-recognition investigation. Public posting of originals and an unrelated face-recognition study are excluded. A new request does not authorize those uses. Other review and handling conditions still apply even within the stated purpose."/>
            <wp:cNvGraphicFramePr>
              <a:graphicFrameLocks noChangeAspect="1"/>
            </wp:cNvGraphicFramePr>
            <a:graphic>
              <a:graphicData uri="http://schemas.openxmlformats.org/drawingml/2006/picture">
                <pic:pic>
                  <pic:nvPicPr>
                    <pic:cNvPr id="0" name="ai-7-19-purpose-map.png"/>
                    <pic:cNvPicPr/>
                  </pic:nvPicPr>
                  <pic:blipFill>
                    <a:blip r:embed="rId9"/>
                    <a:stretch>
                      <a:fillRect/>
                    </a:stretch>
                  </pic:blipFill>
                  <pic:spPr>
                    <a:xfrm>
                      <a:off x="0" y="0"/>
                      <a:ext cx="5486400" cy="3029913"/>
                    </a:xfrm>
                    <a:prstGeom prst="rect"/>
                  </pic:spPr>
                </pic:pic>
              </a:graphicData>
            </a:graphic>
          </wp:inline>
        </w:drawing>
      </w:r>
    </w:p>
    <w:p>
      <w:pPr>
        <w:pStyle w:val="ListBullet"/>
      </w:pPr>
      <w:r>
        <w:t>Consent is specific, not universal. A fictional study asks adults to submit anonymous drawings for one pattern-recognition investigation.</w:t>
      </w:r>
    </w:p>
    <w:p>
      <w:pPr>
        <w:pStyle w:val="ListBullet"/>
      </w:pPr>
      <w:r>
        <w:t>Consent covers this study only. It excludes public posting of originals and unrelated face-recognition research.</w:t>
      </w:r>
    </w:p>
    <w:p>
      <w:r>
        <w:drawing>
          <wp:inline xmlns:a="http://schemas.openxmlformats.org/drawingml/2006/main" xmlns:pic="http://schemas.openxmlformats.org/drawingml/2006/picture">
            <wp:extent cx="5486400" cy="5261429"/>
            <wp:docPr id="2" name="Picture 2" descr="Research ethics and consent. State the purpose: Explain the drawing task and planned use before participation.. Respect exclusions: Do not publish originals or transfer them to the unrelated project.. Keep the agreement: Record permitted uses and the approved withdrawal procedure."/>
            <wp:cNvGraphicFramePr>
              <a:graphicFrameLocks noChangeAspect="1"/>
            </wp:cNvGraphicFramePr>
            <a:graphic>
              <a:graphicData uri="http://schemas.openxmlformats.org/drawingml/2006/picture">
                <pic:pic>
                  <pic:nvPicPr>
                    <pic:cNvPr id="0" name="academy-visual-ai-7-19.png"/>
                    <pic:cNvPicPr/>
                  </pic:nvPicPr>
                  <pic:blipFill>
                    <a:blip r:embed="rId10"/>
                    <a:stretch>
                      <a:fillRect/>
                    </a:stretch>
                  </pic:blipFill>
                  <pic:spPr>
                    <a:xfrm>
                      <a:off x="0" y="0"/>
                      <a:ext cx="5486400" cy="5261429"/>
                    </a:xfrm>
                    <a:prstGeom prst="rect"/>
                  </pic:spPr>
                </pic:pic>
              </a:graphicData>
            </a:graphic>
          </wp:inline>
        </w:drawing>
      </w:r>
    </w:p>
    <w:p>
      <w:pPr>
        <w:pStyle w:val="ListBullet"/>
      </w:pPr>
      <w:r>
        <w:t>Identify which uses the drawing consent permits and excludes. Can the unrelated project reuse the drawings under this agreement, and what new authorisation would be needed?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Evaluate and revise. Compare with your starting method, explain errors and record a justified revision.</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Consent is specific, not universal. A fictional study asks adults to submit anonymous drawings for one pattern-recognition investigation.</w:t>
      </w:r>
    </w:p>
    <w:p>
      <w:pPr>
        <w:pStyle w:val="Heading3"/>
      </w:pPr>
      <w:r>
        <w:t>Practice 1: explain the deciding evidence</w:t>
      </w:r>
    </w:p>
    <w:p>
      <w:pPr>
        <w:pStyle w:val="ListBullet"/>
      </w:pPr>
      <w:r>
        <w:t>Which labelled step matches this detail? Record permitted uses and the approved withdrawal procedure.</w:t>
      </w:r>
    </w:p>
    <w:p>
      <w:pPr>
        <w:pStyle w:val="ListBullet"/>
      </w:pPr>
      <w:r>
        <w:t>1. State the purpose</w:t>
      </w:r>
    </w:p>
    <w:p>
      <w:pPr>
        <w:pStyle w:val="ListBullet"/>
      </w:pPr>
      <w:r>
        <w:t>2. Keep the agreement</w:t>
      </w:r>
    </w:p>
    <w:p>
      <w:pPr>
        <w:pStyle w:val="ListBullet"/>
      </w:pPr>
      <w:r>
        <w:t>3. Respect exclusions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Keep the agreement Record permitted uses and the approved withdrawal procedure.</w:t>
      </w:r>
    </w:p>
    <w:p>
      <w:pPr>
        <w:spacing w:line="336" w:lineRule="auto" w:after="180"/>
      </w:pPr>
      <w:r>
        <w:rPr>
          <w:b w:val="0"/>
        </w:rPr>
        <w:t>Research ethics includes what people agree to, how they can decline and how risks are addressed. A contribution does not grant unlimited reuse.</w:t>
      </w:r>
    </w:p>
    <w:p>
      <w:pPr>
        <w:pStyle w:val="Heading2"/>
      </w:pPr>
      <w:r>
        <w:t>Changed-case question and optional hint</w:t>
      </w:r>
    </w:p>
    <w:p>
      <w:pPr>
        <w:pStyle w:val="Heading3"/>
      </w:pPr>
      <w:r>
        <w:t>Practice 2: explain the deciding evidence</w:t>
      </w:r>
    </w:p>
    <w:p>
      <w:pPr>
        <w:pStyle w:val="ListBullet"/>
      </w:pPr>
      <w:r>
        <w:t>Changed-case practice: A new project requests the same drawings for an excluded purpose. Which conclusion is supported by the supplied facts?</w:t>
      </w:r>
    </w:p>
    <w:p>
      <w:pPr>
        <w:pStyle w:val="ListBullet"/>
      </w:pPr>
      <w:r>
        <w:t>1. This one example guarantees correct results for every future input.</w:t>
      </w:r>
    </w:p>
    <w:p>
      <w:pPr>
        <w:pStyle w:val="ListBullet"/>
      </w:pPr>
      <w:r>
        <w:t>2. Do not reuse them under the existing consent; seek the required new authorisation.</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Do not reuse them under the existing </w:t>
      </w:r>
      <w:r>
        <w:rPr>
          <w:b/>
        </w:rPr>
        <w:t>consent</w:t>
      </w:r>
      <w:r>
        <w:rPr>
          <w:b w:val="0"/>
        </w:rPr>
        <w:t>; seek the required new authorisation. The new purpose falls outside the stated agreement.</w:t>
      </w:r>
    </w:p>
    <w:p>
      <w:pPr>
        <w:pStyle w:val="Heading2"/>
      </w:pPr>
      <w:r>
        <w:t>Repair and retain the record</w:t>
      </w:r>
    </w:p>
    <w:p>
      <w:pPr>
        <w:spacing w:line="336" w:lineRule="auto" w:after="180"/>
      </w:pPr>
      <w:r>
        <w:rPr>
          <w:b w:val="0"/>
        </w:rPr>
        <w:t xml:space="preserve">Review Dataset and benchmark limitations (ai-7/18). Goal: Explain the </w:t>
      </w:r>
      <w:r>
        <w:rPr>
          <w:b/>
        </w:rPr>
        <w:t>mechanism</w:t>
      </w:r>
      <w:r>
        <w:rPr>
          <w:b w:val="0"/>
        </w:rPr>
        <w:t xml:space="preserve"> and terminology of dataset and benchmark limitations. Short practice: Report the indoor benchmark with its denominator and missing condition.</w:t>
      </w:r>
    </w:p>
    <w:p>
      <w:pPr>
        <w:spacing w:line="336" w:lineRule="auto" w:after="180"/>
      </w:pPr>
      <w:r>
        <w:rPr>
          <w:b w:val="0"/>
        </w:rPr>
        <w:t>After two correct outdoor cases out of four are added, what slice rate is supported and what remains uncertain?. Return to this week and explain what you changed.</w:t>
      </w:r>
    </w:p>
    <w:p>
      <w:pPr>
        <w:spacing w:line="336" w:lineRule="auto" w:after="180"/>
      </w:pPr>
      <w:r>
        <w:rPr>
          <w:b w:val="0"/>
        </w:rPr>
        <w:t xml:space="preserve">Review Ablation studies (ai-7/16). Goal: Explain the </w:t>
      </w:r>
      <w:r>
        <w:rPr>
          <w:b/>
        </w:rPr>
        <w:t>mechanism</w:t>
      </w:r>
      <w:r>
        <w:rPr>
          <w:b w:val="0"/>
        </w:rPr>
        <w:t xml:space="preserve"> and terminology of ablation studies. Short practice: Calculate the filter ablation’s two rates and count change.</w:t>
      </w:r>
    </w:p>
    <w:p>
      <w:pPr>
        <w:spacing w:line="336" w:lineRule="auto" w:after="180"/>
      </w:pPr>
      <w:r>
        <w:rPr>
          <w:b w:val="0"/>
        </w:rPr>
        <w:t>Which single component is altered, and why does also changing the model prevent isolating the filter?. Return to this week and explain what you changed.</w:t>
      </w:r>
    </w:p>
    <w:p>
      <w:pPr>
        <w:spacing w:line="336" w:lineRule="auto" w:after="180"/>
      </w:pPr>
      <w:r>
        <w:rPr>
          <w:b w:val="0"/>
        </w:rPr>
        <w:t xml:space="preserve">Review Effect size and practical importance (ai-7/13). Goal: Explain the </w:t>
      </w:r>
      <w:r>
        <w:rPr>
          <w:b/>
        </w:rPr>
        <w:t>mechanism</w:t>
      </w:r>
      <w:r>
        <w:rPr>
          <w:b w:val="0"/>
        </w:rPr>
        <w:t xml:space="preserve"> and terminology of effect size and practical importance. Short practice: Calculate the absolute error-rate reduction from 20/1000 to 15/1000.</w:t>
      </w:r>
    </w:p>
    <w:p>
      <w:pPr>
        <w:spacing w:line="336" w:lineRule="auto" w:after="180"/>
      </w:pPr>
      <w:r>
        <w:rPr>
          <w:b w:val="0"/>
        </w:rPr>
        <w:t>Does it meet the ten-fewer-errors threshold, and what changes when B has eight errors?.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Research ethics and consent: the case</w:t>
      </w:r>
    </w:p>
    <w:p>
      <w:r>
        <w:drawing>
          <wp:inline xmlns:a="http://schemas.openxmlformats.org/drawingml/2006/main" xmlns:pic="http://schemas.openxmlformats.org/drawingml/2006/picture">
            <wp:extent cx="5486400" cy="2834640"/>
            <wp:docPr id="3" name="Picture 3" descr="Consent is specific, not universal. A fictional study asks adults to submit anonymous drawings for one pattern-recognition investigation. Supplied facts: Consent covers this study only. It excludes public posting of originals and unrelated face-recognition research."/>
            <wp:cNvGraphicFramePr>
              <a:graphicFrameLocks noChangeAspect="1"/>
            </wp:cNvGraphicFramePr>
            <a:graphic>
              <a:graphicData uri="http://schemas.openxmlformats.org/drawingml/2006/picture">
                <pic:pic>
                  <pic:nvPicPr>
                    <pic:cNvPr id="0" name="academy-story-ai-7-19-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rPr>
        <w:t>Consent</w:t>
      </w:r>
      <w:r>
        <w:rPr>
          <w:b w:val="0"/>
        </w:rPr>
        <w:t xml:space="preserve"> is specific, not universal. A fictional study asks adults to submit anonymous drawings for one pattern-recognition investigation. Supplied facts: </w:t>
      </w:r>
      <w:r>
        <w:rPr>
          <w:b/>
        </w:rPr>
        <w:t>Consent</w:t>
      </w:r>
      <w:r>
        <w:rPr>
          <w:b w:val="0"/>
        </w:rPr>
        <w:t xml:space="preserve"> covers this study only.</w:t>
      </w:r>
    </w:p>
    <w:p>
      <w:pPr>
        <w:spacing w:line="336" w:lineRule="auto" w:after="180"/>
      </w:pPr>
      <w:r>
        <w:rPr>
          <w:b w:val="0"/>
        </w:rPr>
        <w:t>It excludes public posting of originals and unrelated face-recognition research.</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State the purpose: Explain the drawing task and planned use before participation. → Respect exclusions: Do not publish originals or transfer them to the unrelated project. → Keep the agreement: Record permitted uses and the approved withdrawal procedure."/>
            <wp:cNvGraphicFramePr>
              <a:graphicFrameLocks noChangeAspect="1"/>
            </wp:cNvGraphicFramePr>
            <a:graphic>
              <a:graphicData uri="http://schemas.openxmlformats.org/drawingml/2006/picture">
                <pic:pic>
                  <pic:nvPicPr>
                    <pic:cNvPr id="0" name="academy-story-ai-7-19-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State the purpose: Explain the drawing task and planned use before participation. → Respect exclusions: Do not publish originals or transfer them to the unrelated project. → Keep the agreement: Record permitted uses and the approved withdrawal procedure.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Research ethics and consent — evidence trace</w:t>
      </w:r>
    </w:p>
    <w:p>
      <w:r>
        <w:drawing>
          <wp:inline xmlns:a="http://schemas.openxmlformats.org/drawingml/2006/main" xmlns:pic="http://schemas.openxmlformats.org/drawingml/2006/picture">
            <wp:extent cx="5486400" cy="3297936"/>
            <wp:docPr id="5" name="Picture 5" descr="Research ethics and consent — evidence trace. Proposal automatically copies student essays into a study because they were submitted for grading. | Use fictional records for this course. For the supplied classroom policy, a real study needs responsible review, plain-language purpose, opt-in consent and withdrawal handling before collection. Do not implement real recruitment in this exercise. | The grading purpose does not establish research permission under the policy. Redesign around fictional data or obtain required review and voluntary permission before collection."/>
            <wp:cNvGraphicFramePr>
              <a:graphicFrameLocks noChangeAspect="1"/>
            </wp:cNvGraphicFramePr>
            <a:graphic>
              <a:graphicData uri="http://schemas.openxmlformats.org/drawingml/2006/picture">
                <pic:pic>
                  <pic:nvPicPr>
                    <pic:cNvPr id="0" name="academy-story-ai-7-19-03.png"/>
                    <pic:cNvPicPr/>
                  </pic:nvPicPr>
                  <pic:blipFill>
                    <a:blip r:embed="rId13"/>
                    <a:stretch>
                      <a:fillRect/>
                    </a:stretch>
                  </pic:blipFill>
                  <pic:spPr>
                    <a:xfrm>
                      <a:off x="0" y="0"/>
                      <a:ext cx="5486400" cy="3297936"/>
                    </a:xfrm>
                    <a:prstGeom prst="rect"/>
                  </pic:spPr>
                </pic:pic>
              </a:graphicData>
            </a:graphic>
          </wp:inline>
        </w:drawing>
      </w:r>
    </w:p>
    <w:p>
      <w:pPr>
        <w:spacing w:line="336" w:lineRule="auto" w:after="180"/>
      </w:pPr>
      <w:r>
        <w:rPr>
          <w:b w:val="0"/>
        </w:rPr>
        <w:t xml:space="preserve">Research ethics and </w:t>
      </w:r>
      <w:r>
        <w:rPr>
          <w:b/>
        </w:rPr>
        <w:t>consent</w:t>
      </w:r>
      <w:r>
        <w:rPr>
          <w:b w:val="0"/>
        </w:rPr>
        <w:t xml:space="preserve"> — </w:t>
      </w:r>
      <w:r>
        <w:rPr>
          <w:b/>
        </w:rPr>
        <w:t>evidence</w:t>
      </w:r>
      <w:r>
        <w:rPr>
          <w:b w:val="0"/>
        </w:rPr>
        <w:t xml:space="preserve"> trace. Proposal automatically copies student essays into a study because they were submitted for grading. | Use fictional records for this course.</w:t>
      </w:r>
    </w:p>
    <w:p>
      <w:pPr>
        <w:spacing w:line="336" w:lineRule="auto" w:after="180"/>
      </w:pPr>
      <w:r>
        <w:rPr>
          <w:b w:val="0"/>
        </w:rPr>
        <w:t xml:space="preserve">For the supplied classroom policy, a real study needs responsible review, plain-language purpose, opt-in </w:t>
      </w:r>
      <w:r>
        <w:rPr>
          <w:b/>
        </w:rPr>
        <w:t>consent</w:t>
      </w:r>
      <w:r>
        <w:rPr>
          <w:b w:val="0"/>
        </w:rPr>
        <w:t xml:space="preserve"> and withdrawal handling before collection.</w:t>
      </w:r>
    </w:p>
    <w:p>
      <w:pPr>
        <w:spacing w:line="336" w:lineRule="auto" w:after="180"/>
      </w:pPr>
      <w:r>
        <w:rPr>
          <w:b w:val="0"/>
        </w:rPr>
        <w:t>Do not implement real recruitment in this exercise. | The grading purpose does not establish research permission under the policy.</w:t>
      </w:r>
    </w:p>
    <w:p>
      <w:pPr>
        <w:spacing w:line="336" w:lineRule="auto" w:after="180"/>
      </w:pPr>
      <w:r>
        <w:rPr>
          <w:b w:val="0"/>
        </w:rPr>
        <w:t>Redesign around fictional data or obtain required review and voluntary permission before collection.</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Record permitted uses and the approved withdrawal procedure. Changed condition: A new project requests the same drawings for an excluded purpose. Expected result: Do not reuse them under the existing consent; seek the required new authorisation. Reason: The new purpose falls outside the stated agreement."/>
            <wp:cNvGraphicFramePr>
              <a:graphicFrameLocks noChangeAspect="1"/>
            </wp:cNvGraphicFramePr>
            <a:graphic>
              <a:graphicData uri="http://schemas.openxmlformats.org/drawingml/2006/picture">
                <pic:pic>
                  <pic:nvPicPr>
                    <pic:cNvPr id="0" name="academy-story-ai-7-1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Record permitted uses and the approved withdrawal procedure. Changed condition: A new project requests the same drawings for an excluded purpose.</w:t>
      </w:r>
    </w:p>
    <w:p>
      <w:pPr>
        <w:spacing w:line="336" w:lineRule="auto" w:after="180"/>
      </w:pPr>
      <w:r>
        <w:rPr>
          <w:b w:val="0"/>
        </w:rPr>
        <w:t xml:space="preserve">Expected result: Do not reuse them under the existing </w:t>
      </w:r>
      <w:r>
        <w:rPr>
          <w:b/>
        </w:rPr>
        <w:t>consent</w:t>
      </w:r>
      <w:r>
        <w:rPr>
          <w:b w:val="0"/>
        </w:rPr>
        <w:t>; seek the required new authorisation. Reason: The new purpose falls outside the stated agreement.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search ethics includes what people agree to, how they can decline and how risks are addressed. A contribution does not grant unlimited reuse. Limit: This fictional adult scenario is not approval for research with children; real oversight and applicable rules are separate requirements."/>
            <wp:cNvGraphicFramePr>
              <a:graphicFrameLocks noChangeAspect="1"/>
            </wp:cNvGraphicFramePr>
            <a:graphic>
              <a:graphicData uri="http://schemas.openxmlformats.org/drawingml/2006/picture">
                <pic:pic>
                  <pic:nvPicPr>
                    <pic:cNvPr id="0" name="academy-story-ai-7-1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Research ethics includes what people agree to, how they can decline and how risks are addressed. A contribution does not grant unlimited reuse.</w:t>
      </w:r>
    </w:p>
    <w:p>
      <w:pPr>
        <w:spacing w:line="336" w:lineRule="auto" w:after="180"/>
      </w:pPr>
      <w:r>
        <w:rPr>
          <w:b w:val="0"/>
        </w:rPr>
        <w:t>Limit: This fictional adult scenario is not approval for research with children; real oversight and applicable rules are separate requirements.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Identify which uses the drawing consent permits and excludes. Can the unrelated project reuse the drawings under this agreement, and what new authorisation would be needed?"/>
            <wp:cNvGraphicFramePr>
              <a:graphicFrameLocks noChangeAspect="1"/>
            </wp:cNvGraphicFramePr>
            <a:graphic>
              <a:graphicData uri="http://schemas.openxmlformats.org/drawingml/2006/picture">
                <pic:pic>
                  <pic:nvPicPr>
                    <pic:cNvPr id="0" name="academy-story-ai-7-19-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Identify which uses the drawing </w:t>
      </w:r>
      <w:r>
        <w:rPr>
          <w:b/>
        </w:rPr>
        <w:t>consent</w:t>
      </w:r>
      <w:r>
        <w:rPr>
          <w:b w:val="0"/>
        </w:rPr>
        <w:t xml:space="preserve"> permits and excludes.</w:t>
      </w:r>
    </w:p>
    <w:p>
      <w:pPr>
        <w:spacing w:line="336" w:lineRule="auto" w:after="180"/>
      </w:pPr>
      <w:r>
        <w:rPr>
          <w:b w:val="0"/>
        </w:rPr>
        <w:t>Can the unrelated project reuse the drawings under this agreement, and what new authorisation would be needed?</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Research ethics and consent: the case</w:t>
      </w:r>
    </w:p>
    <w:p>
      <w:pPr>
        <w:pStyle w:val="Heading3"/>
      </w:pPr>
      <w:r>
        <w:t>02. Follow the deciding steps</w:t>
      </w:r>
    </w:p>
    <w:p>
      <w:pPr>
        <w:pStyle w:val="Heading3"/>
      </w:pPr>
      <w:r>
        <w:t>03. Research ethics and consent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