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ai-7/20</w:t>
      </w:r>
    </w:p>
    <w:p>
      <w:pPr>
        <w:pStyle w:val="Title"/>
      </w:pPr>
      <w:r>
        <w:t>Privacy and data governance</w:t>
      </w:r>
    </w:p>
    <w:p>
      <w:r>
        <w:t>Project: Reproducible AI Research Study</w:t>
      </w:r>
    </w:p>
    <w:p>
      <w:pPr>
        <w:pStyle w:val="Heading1"/>
      </w:pPr>
      <w:r>
        <w:t>One complete fictional data-flow and governance record.</w:t>
      </w:r>
    </w:p>
    <w:p>
      <w:r>
        <w:t>Keep fields, purpose, roles, linking routes, retention and unresolved risks together.</w:t>
      </w:r>
    </w:p>
    <w:p>
      <w:r>
        <w:t>Recall → W1–W3/W5 → independent subgroup case → research project →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Research ethics and consent</w:t>
      </w:r>
    </w:p>
    <w:p>
      <w:pPr>
        <w:pStyle w:val="ListBullet"/>
      </w:pPr>
      <w:r>
        <w:t>Without opening the old lesson, explain one key idea from Research ethics and consent.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Sensitivity analysis</w:t>
      </w:r>
    </w:p>
    <w:p>
      <w:pPr>
        <w:pStyle w:val="ListBullet"/>
      </w:pPr>
      <w:r>
        <w:t>Without opening the old lesson, explain one key idea from Sensitivity analysis.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Statistical tests and assumptions</w:t>
      </w:r>
    </w:p>
    <w:p>
      <w:pPr>
        <w:pStyle w:val="ListBullet"/>
      </w:pPr>
      <w:r>
        <w:t>Without opening the old lesson, explain one key idea from Statistical tests and assumptions.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W1 · Explain the current example</w:t>
      </w:r>
    </w:p>
    <w:p>
      <w:r>
        <w:t>Keep this task’s inputs,rule and response together.</w:t>
      </w:r>
    </w:p>
    <w:p>
      <w:pPr>
        <w:pStyle w:val="Heading2"/>
      </w:pPr>
      <w:r>
        <w:t>Complete task and evidence</w:t>
      </w:r>
    </w:p>
    <w:p>
      <w:pPr>
        <w:pStyle w:val="ListBullet"/>
      </w:pPr>
      <w:r>
        <w:t>Data governance states purpose, necessary fields, readers, locations and retention. This exercise uses fictional metadata, not personal records. Main export has coded ID, exact birth date, classroom and rare condition. Their combination may identify someone even without a name. For the explicit toy task-score purpose, unnecessary details are removed in a proposed plan. Separate picture analysis has participant code and score; a restricted key maps codes to identities for authorized withdrawal handling. The shared code makes records pseudonymous and linkable if the key is available. Publishing both breaks that separation. Restricted access must actually be implemented; a diagram or metadata flag does not prove it. Rare combinations and small groups can remain identifying through other information. A proposed retention action is not executed deletion. Under the supplied minimum-five rule, groups below five are blocked; a count of five meets only that rule, not a privacy guarantee. Any suppression or aggregation also needs checks for indirect disclosure and permitted purpose. No export, identity lookup, real approval or deletion is performed.</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worked case</w:t>
      </w:r>
    </w:p>
    <w:p>
      <w:r>
        <w:t>Keep the supplied inputs, comparison rule and evidence together.</w:t>
      </w:r>
    </w:p>
    <w:p>
      <w:pPr>
        <w:pStyle w:val="Heading2"/>
      </w:pPr>
      <w:r>
        <w:t>Complete task and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export field</w:t>
            </w:r>
          </w:p>
        </w:tc>
        <w:tc>
          <w:tcPr>
            <w:tcW w:type="dxa" w:w="3408"/>
          </w:tcPr>
          <w:p>
            <w:r>
              <w:t>Reason for concern</w:t>
            </w:r>
          </w:p>
        </w:tc>
        <w:tc>
          <w:tcPr>
            <w:tcW w:type="dxa" w:w="3408"/>
          </w:tcPr>
          <w:p>
            <w:r>
              <w:t>Toy-purpose action</w:t>
            </w:r>
          </w:p>
        </w:tc>
      </w:tr>
      <w:tr>
        <w:tc>
          <w:tcPr>
            <w:tcW w:type="dxa" w:w="3408"/>
          </w:tcPr>
          <w:p>
            <w:r>
              <w:t>Coded ID</w:t>
            </w:r>
          </w:p>
        </w:tc>
        <w:tc>
          <w:tcPr>
            <w:tcW w:type="dxa" w:w="3408"/>
          </w:tcPr>
          <w:p>
            <w:r>
              <w:t>May link to other records or a key</w:t>
            </w:r>
          </w:p>
        </w:tc>
        <w:tc>
          <w:tcPr>
            <w:tcW w:type="dxa" w:w="3408"/>
          </w:tcPr>
          <w:p>
            <w:r>
              <w:t>Restrict under the declared role plan</w:t>
            </w:r>
          </w:p>
        </w:tc>
      </w:tr>
      <w:tr>
        <w:tc>
          <w:tcPr>
            <w:tcW w:type="dxa" w:w="3408"/>
          </w:tcPr>
          <w:p>
            <w:r>
              <w:t>Exact birth date</w:t>
            </w:r>
          </w:p>
        </w:tc>
        <w:tc>
          <w:tcPr>
            <w:tcW w:type="dxa" w:w="3408"/>
          </w:tcPr>
          <w:p>
            <w:r>
              <w:t>Detailed identifying combination</w:t>
            </w:r>
          </w:p>
        </w:tc>
        <w:tc>
          <w:tcPr>
            <w:tcW w:type="dxa" w:w="3408"/>
          </w:tcPr>
          <w:p>
            <w:r>
              <w:t>Remove from the task-score analysis proposal</w:t>
            </w:r>
          </w:p>
        </w:tc>
      </w:tr>
      <w:tr>
        <w:tc>
          <w:tcPr>
            <w:tcW w:type="dxa" w:w="3408"/>
          </w:tcPr>
          <w:p>
            <w:r>
              <w:t>Classroom</w:t>
            </w:r>
          </w:p>
        </w:tc>
        <w:tc>
          <w:tcPr>
            <w:tcW w:type="dxa" w:w="3408"/>
          </w:tcPr>
          <w:p>
            <w:r>
              <w:t>Narrows the possible people</w:t>
            </w:r>
          </w:p>
        </w:tc>
        <w:tc>
          <w:tcPr>
            <w:tcW w:type="dxa" w:w="3408"/>
          </w:tcPr>
          <w:p>
            <w:r>
              <w:t>Remove unnecessary detail</w:t>
            </w:r>
          </w:p>
        </w:tc>
      </w:tr>
      <w:tr>
        <w:tc>
          <w:tcPr>
            <w:tcW w:type="dxa" w:w="3408"/>
          </w:tcPr>
          <w:p>
            <w:r>
              <w:t>Rare condition</w:t>
            </w:r>
          </w:p>
        </w:tc>
        <w:tc>
          <w:tcPr>
            <w:tcW w:type="dxa" w:w="3408"/>
          </w:tcPr>
          <w:p>
            <w:r>
              <w:t>Can identify through unusual combinations</w:t>
            </w:r>
          </w:p>
        </w:tc>
        <w:tc>
          <w:tcPr>
            <w:tcW w:type="dxa" w:w="3408"/>
          </w:tcPr>
          <w:p>
            <w:r>
              <w:t>Remove from this toy-purpose proposal</w:t>
            </w:r>
          </w:p>
        </w:tc>
      </w:tr>
      <w:tr>
        <w:tc>
          <w:tcPr>
            <w:tcW w:type="dxa" w:w="3408"/>
          </w:tcPr>
          <w:p>
            <w:r>
              <w:t>No names in export</w:t>
            </w:r>
          </w:p>
        </w:tc>
        <w:tc>
          <w:tcPr>
            <w:tcW w:type="dxa" w:w="3408"/>
          </w:tcPr>
          <w:p>
            <w:r>
              <w:t>Does not remove all linkage routes</w:t>
            </w:r>
          </w:p>
        </w:tc>
        <w:tc>
          <w:tcPr>
            <w:tcW w:type="dxa" w:w="3408"/>
          </w:tcPr>
          <w:p>
            <w:r>
              <w:t>Do not label it guaranteed anonymous</w:t>
            </w:r>
          </w:p>
        </w:tc>
      </w:tr>
      <w:tr>
        <w:tc>
          <w:tcPr>
            <w:tcW w:type="dxa" w:w="3408"/>
          </w:tcPr>
          <w:p>
            <w:r>
              <w:t>Missing readers/retention evidence</w:t>
            </w:r>
          </w:p>
        </w:tc>
        <w:tc>
          <w:tcPr>
            <w:tcW w:type="dxa" w:w="3408"/>
          </w:tcPr>
          <w:p>
            <w:r>
              <w:t>Plan alone does not prove controls</w:t>
            </w:r>
          </w:p>
        </w:tc>
        <w:tc>
          <w:tcPr>
            <w:tcW w:type="dxa" w:w="3408"/>
          </w:tcPr>
          <w:p>
            <w:r>
              <w:t>Record unresolved checks; do not claim actual protection</w:t>
            </w:r>
          </w:p>
        </w:tc>
      </w:tr>
    </w:tbl>
    <w:p>
      <w:pPr>
        <w:pStyle w:val="ListBullet"/>
      </w:pPr>
      <w:r>
        <w:t>Data governance states purpose, necessary fields, readers, locations and retention. This exercise uses fictional metadata, not personal records. Main export has coded ID, exact birth date, classroom and rare condition. Their combination may identify someone even without a name. For the explicit toy task-score purpose, unnecessary details are removed in a proposed plan. Separate picture analysis has participant code and score; a restricted key maps codes to identities for authorized withdrawal handling. The shared code makes records pseudonymous and linkable if the key is available. Publishing both breaks that separation. Restricted access must actually be implemented; a diagram or metadata flag does not prove it. Rare combinations and small groups can remain identifying through other information. A proposed retention action is not executed deletion. Under the supplied minimum-five rule, groups below five are blocked; a count of five meets only that rule, not a privacy guarantee. Any suppression or aggregation also needs checks for indirect disclosure and permitted purpose. No export, identity lookup, real approval or deletion is performed.</w:t>
      </w:r>
    </w:p>
    <w:p>
      <w:pPr>
        <w:pStyle w:val="ListBullet"/>
      </w:pPr>
      <w:r>
        <w:t>Export has coded ID, exact birth date, classroom and rare condition. Team calls it anonymous because names are removed.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Data governance states purpose, necessary fields, readers, locations and retention. This exercise uses fictional metadata, not personal records. Main export has coded ID, exact birth date, classroom and rare condition. Their combination may identify someone even without a name. For the explicit toy task-score purpose, unnecessary details are removed in a proposed plan. Separate picture analysis has participant code and score; a restricted key maps codes to identities for authorized withdrawal handling. The shared code makes records pseudonymous and linkable if the key is available. Publishing both breaks that separation. Restricted access must actually be implemented; a diagram or metadata flag does not prove it. Rare combinations and small groups can remain identifying through other information. A proposed retention action is not executed deletion. Under the supplied minimum-five rule, groups below five are blocked; a count of five meets only that rule, not a privacy guarantee. Any suppression or aggregation also needs checks for indirect disclosure and permitted purpose. No export, identity lookup, real approval or deletion is performed.</w:t>
      </w:r>
    </w:p>
    <w:p>
      <w:pPr>
        <w:pStyle w:val="ListBullet"/>
      </w:pPr>
      <w:r>
        <w:t>A report omits this qualification: A size threshold or coding scheme alone does not guarantee privacy.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Data governance states purpose, necessary fields, readers, locations and retention. This exercise uses fictional metadata, not personal records. Main export has coded ID, exact birth date, classroom and rare condition. Their combination may identify someone even without a name. For the explicit toy task-score purpose, unnecessary details are removed in a proposed plan. Separate picture analysis has participant code and score; a restricted key maps codes to identities for authorized withdrawal handling. The shared code makes records pseudonymous and linkable if the key is available. Publishing both breaks that separation. Restricted access must actually be implemented; a diagram or metadata flag does not prove it. Rare combinations and small groups can remain identifying through other information. A proposed retention action is not executed deletion. Under the supplied minimum-five rule, groups below five are blocked; a count of five meets only that rule, not a privacy guarantee. Any suppression or aggregation also needs checks for indirect disclosure and permitted purpose. No export, identity lookup, real approval or deletion is performed.</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Aggregate contains one member in a subgroup; policy forbids subgroup reports smaller than 5. Decide.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research evidence</w:t>
      </w:r>
    </w:p>
    <w:p>
      <w:r>
        <w:t>Preserve the question, protocol, observations, analysis and limits.</w:t>
      </w:r>
    </w:p>
    <w:p>
      <w:pPr>
        <w:pStyle w:val="Heading2"/>
      </w:pPr>
      <w:r>
        <w:t>Complete task and evidence</w:t>
      </w:r>
    </w:p>
    <w:p>
      <w:pPr>
        <w:pStyle w:val="ListBullet"/>
      </w:pPr>
      <w:r>
        <w:t>Add a labelled privacy and data governance evidence sheet to Reproducible AI Research Study. Show how you can explain the mechanism and terminology of privacy and data governance.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Privacy and data governance.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Privacy and data governance.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Aggregate contains one member in a subgroup; policy forbids subgroup reports smaller than 5. Decide.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r>
        <w:drawing>
          <wp:inline xmlns:a="http://schemas.openxmlformats.org/drawingml/2006/main" xmlns:pic="http://schemas.openxmlformats.org/drawingml/2006/picture">
            <wp:extent cx="5486400" cy="3029913"/>
            <wp:docPr id="1" name="Picture 1" descr="The fictional analysis table maps participant codes to scores and is readable by the analyst role. A separate restricted identity key maps the same codes to identities for authorized withdrawal handling. Shared codes make joining possible if the key is available. Publishing both breaks the declared separation. Coded data is not guaranteed anonymous."/>
            <wp:cNvGraphicFramePr>
              <a:graphicFrameLocks noChangeAspect="1"/>
            </wp:cNvGraphicFramePr>
            <a:graphic>
              <a:graphicData uri="http://schemas.openxmlformats.org/drawingml/2006/picture">
                <pic:pic>
                  <pic:nvPicPr>
                    <pic:cNvPr id="0" name="ai-7-20-key-separation.png"/>
                    <pic:cNvPicPr/>
                  </pic:nvPicPr>
                  <pic:blipFill>
                    <a:blip r:embed="rId9"/>
                    <a:stretch>
                      <a:fillRect/>
                    </a:stretch>
                  </pic:blipFill>
                  <pic:spPr>
                    <a:xfrm>
                      <a:off x="0" y="0"/>
                      <a:ext cx="5486400" cy="3029913"/>
                    </a:xfrm>
                    <a:prstGeom prst="rect"/>
                  </pic:spPr>
                </pic:pic>
              </a:graphicData>
            </a:graphic>
          </wp:inline>
        </w:drawing>
      </w:r>
    </w:p>
    <w:p>
      <w:pPr>
        <w:pStyle w:val="ListBullet"/>
      </w:pPr>
      <w:r>
        <w:t>Govern data by purpose and access. A fictional project needs task scores and random participant codes, but not names.</w:t>
      </w:r>
    </w:p>
    <w:p>
      <w:pPr>
        <w:pStyle w:val="ListBullet"/>
      </w:pPr>
      <w:r>
        <w:t>The analysis table holds codes and scores. A separate restricted key links codes to names only for authorised withdrawal handling.</w:t>
      </w:r>
    </w:p>
    <w:p>
      <w:r>
        <w:drawing>
          <wp:inline xmlns:a="http://schemas.openxmlformats.org/drawingml/2006/main" xmlns:pic="http://schemas.openxmlformats.org/drawingml/2006/picture">
            <wp:extent cx="5486400" cy="5185229"/>
            <wp:docPr id="2" name="Picture 2" descr="Privacy and data governance. Separate tables: Keep analysis records apart from the identity key.. Limit access: Analysts receive scores and codes, not the name linkage.. Define retention: Apply the approved deletion schedule to both stores and listed copies."/>
            <wp:cNvGraphicFramePr>
              <a:graphicFrameLocks noChangeAspect="1"/>
            </wp:cNvGraphicFramePr>
            <a:graphic>
              <a:graphicData uri="http://schemas.openxmlformats.org/drawingml/2006/picture">
                <pic:pic>
                  <pic:nvPicPr>
                    <pic:cNvPr id="0" name="academy-visual-ai-7-20.png"/>
                    <pic:cNvPicPr/>
                  </pic:nvPicPr>
                  <pic:blipFill>
                    <a:blip r:embed="rId10"/>
                    <a:stretch>
                      <a:fillRect/>
                    </a:stretch>
                  </pic:blipFill>
                  <pic:spPr>
                    <a:xfrm>
                      <a:off x="0" y="0"/>
                      <a:ext cx="5486400" cy="5185229"/>
                    </a:xfrm>
                    <a:prstGeom prst="rect"/>
                  </pic:spPr>
                </pic:pic>
              </a:graphicData>
            </a:graphic>
          </wp:inline>
        </w:drawing>
      </w:r>
    </w:p>
    <w:p>
      <w:pPr>
        <w:pStyle w:val="ListBullet"/>
      </w:pPr>
      <w:r>
        <w:t>Point to the analysis table and the restricted identity key. Why are the codes pseudonymous rather than guaranteed anonymous, and what changes if the key is published?</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Reproducible AI Research Study, retain an annotated worked trace and the changed-case reasoning. Connect the claim to its records, units and assumptions so another investigator can challenge or reproduce it.</w:t>
      </w:r>
    </w:p>
    <w:p>
      <w:pPr>
        <w:pStyle w:val="Heading1"/>
      </w:pPr>
      <w:r>
        <w:t>13. Reference · Project milestone</w:t>
      </w:r>
    </w:p>
    <w:p>
      <w:r>
        <w:t>Keep this task’s inputs,rule and response together.</w:t>
      </w:r>
    </w:p>
    <w:p>
      <w:pPr>
        <w:pStyle w:val="Heading2"/>
      </w:pPr>
      <w:r>
        <w:t>Complete task and evidence</w:t>
      </w:r>
    </w:p>
    <w:p>
      <w:pPr>
        <w:pStyle w:val="ListBullet"/>
      </w:pPr>
      <w:r>
        <w:t>Project: Reproducible AI Research Study</w:t>
      </w:r>
    </w:p>
    <w:p>
      <w:pPr>
        <w:pStyle w:val="ListBullet"/>
      </w:pPr>
      <w:r>
        <w:t>Current milestone: Evaluate and revise. Compare with your starting method, explain errors and record a justified revision.</w:t>
      </w:r>
    </w:p>
    <w:p>
      <w:pPr>
        <w:pStyle w:val="ListBullet"/>
      </w:pPr>
      <w:r>
        <w:t>For the Reproducible AI Research Study, retain an annotated worked trace and the changed-case reasoning. Connect the claim to its records, units and assumptions so another investigator can challenge or reproduce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Govern data by purpose and access. A fictional project needs task scores and random participant codes, but not names.</w:t>
      </w:r>
    </w:p>
    <w:p>
      <w:pPr>
        <w:pStyle w:val="Heading3"/>
      </w:pPr>
      <w:r>
        <w:t>Practice 1: explain the deciding evidence</w:t>
      </w:r>
    </w:p>
    <w:p>
      <w:pPr>
        <w:pStyle w:val="ListBullet"/>
      </w:pPr>
      <w:r>
        <w:t>Which labelled step matches this detail? Apply the approved deletion schedule to both stores and listed copies.</w:t>
      </w:r>
    </w:p>
    <w:p>
      <w:pPr>
        <w:pStyle w:val="ListBullet"/>
      </w:pPr>
      <w:r>
        <w:t>1. Define retention</w:t>
      </w:r>
    </w:p>
    <w:p>
      <w:pPr>
        <w:pStyle w:val="ListBullet"/>
      </w:pPr>
      <w:r>
        <w:t>2. Separate tables</w:t>
      </w:r>
    </w:p>
    <w:p>
      <w:pPr>
        <w:pStyle w:val="ListBullet"/>
      </w:pPr>
      <w:r>
        <w:t>3. Limit access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Define retention Apply the approved deletion schedule to both stores and listed copies.</w:t>
      </w:r>
    </w:p>
    <w:p>
      <w:pPr>
        <w:spacing w:line="336" w:lineRule="auto" w:after="180"/>
      </w:pPr>
      <w:r>
        <w:rPr>
          <w:b/>
        </w:rPr>
        <w:t>Pseudonym</w:t>
      </w:r>
      <w:r>
        <w:rPr>
          <w:b w:val="0"/>
        </w:rPr>
        <w:t>ous codes reduce routine exposure but are not the same as irreversible anonymity. Governance specifies purpose, readers, locations and retention.</w:t>
      </w:r>
    </w:p>
    <w:p>
      <w:pPr>
        <w:pStyle w:val="Heading2"/>
      </w:pPr>
      <w:r>
        <w:t>Changed-case question and optional hint</w:t>
      </w:r>
    </w:p>
    <w:p>
      <w:pPr>
        <w:pStyle w:val="Heading3"/>
      </w:pPr>
      <w:r>
        <w:t>Practice 2: explain the deciding evidence</w:t>
      </w:r>
    </w:p>
    <w:p>
      <w:pPr>
        <w:pStyle w:val="ListBullet"/>
      </w:pPr>
      <w:r>
        <w:t>Changed-case practice: Publish the identity key with the analysis table. Which conclusion is supported by the supplied facts?</w:t>
      </w:r>
    </w:p>
    <w:p>
      <w:pPr>
        <w:pStyle w:val="ListBullet"/>
      </w:pPr>
      <w:r>
        <w:t>1. The records become directly linkable to names and breach this access design.</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The records become directly linkable to names and breach this access design. Separation only helps while the linkage key remains restricted.</w:t>
      </w:r>
    </w:p>
    <w:p>
      <w:pPr>
        <w:pStyle w:val="Heading2"/>
      </w:pPr>
      <w:r>
        <w:t>Repair and retain the record</w:t>
      </w:r>
    </w:p>
    <w:p>
      <w:pPr>
        <w:spacing w:line="336" w:lineRule="auto" w:after="180"/>
      </w:pPr>
      <w:r>
        <w:rPr>
          <w:b w:val="0"/>
        </w:rPr>
        <w:t xml:space="preserve">Review Research ethics and consent (ai-7/19). Goal: Explain the </w:t>
      </w:r>
      <w:r>
        <w:rPr>
          <w:b/>
        </w:rPr>
        <w:t>mechanism</w:t>
      </w:r>
      <w:r>
        <w:rPr>
          <w:b w:val="0"/>
        </w:rPr>
        <w:t xml:space="preserve"> and terminology of research ethics and consent. Short practice: Identify which uses the drawing consent permits and excludes.</w:t>
      </w:r>
    </w:p>
    <w:p>
      <w:pPr>
        <w:spacing w:line="336" w:lineRule="auto" w:after="180"/>
      </w:pPr>
      <w:r>
        <w:rPr>
          <w:b w:val="0"/>
        </w:rPr>
        <w:t>Can the unrelated project reuse the drawings under this agreement, and what new authorisation would be needed?. Return to this week and explain what you changed.</w:t>
      </w:r>
    </w:p>
    <w:p>
      <w:pPr>
        <w:spacing w:line="336" w:lineRule="auto" w:after="180"/>
      </w:pPr>
      <w:r>
        <w:rPr>
          <w:b w:val="0"/>
        </w:rPr>
        <w:t xml:space="preserve">Review Sensitivity analysis (ai-7/17). Goal: Explain the </w:t>
      </w:r>
      <w:r>
        <w:rPr>
          <w:b/>
        </w:rPr>
        <w:t>mechanism</w:t>
      </w:r>
      <w:r>
        <w:rPr>
          <w:b w:val="0"/>
        </w:rPr>
        <w:t xml:space="preserve"> and terminology of sensitivity analysis. Short practice: Classify 0.4, 0.6 and 0.8 at cutoffs 0.5, 0.7 and exactly 0.6.</w:t>
      </w:r>
    </w:p>
    <w:p>
      <w:pPr>
        <w:spacing w:line="336" w:lineRule="auto" w:after="180"/>
      </w:pPr>
      <w:r>
        <w:rPr>
          <w:b w:val="0"/>
        </w:rPr>
        <w:t>Which equality rule decides the boundary, and can these unlabelled scores identify the best cutoff?. Return to this week and explain what you changed.</w:t>
      </w:r>
    </w:p>
    <w:p>
      <w:pPr>
        <w:spacing w:line="336" w:lineRule="auto" w:after="180"/>
      </w:pPr>
      <w:r>
        <w:rPr>
          <w:b w:val="0"/>
        </w:rPr>
        <w:t xml:space="preserve">Review Statistical tests and assumptions (ai-7/14). Goal: Explain the </w:t>
      </w:r>
      <w:r>
        <w:rPr>
          <w:b/>
        </w:rPr>
        <w:t>mechanism</w:t>
      </w:r>
      <w:r>
        <w:rPr>
          <w:b w:val="0"/>
        </w:rPr>
        <w:t xml:space="preserve"> and terminology of statistical tests and assumptions. Short practice: Calculate each paired difference and the observed sum.</w:t>
      </w:r>
    </w:p>
    <w:p>
      <w:pPr>
        <w:spacing w:line="336" w:lineRule="auto" w:after="180"/>
      </w:pPr>
      <w:r>
        <w:rPr>
          <w:b w:val="0"/>
        </w:rPr>
        <w:t>Count null arrangements with absolute sum at least four, compute p, and explain the decision at threshold 0.05..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Privacy and data governance: the case</w:t>
      </w:r>
    </w:p>
    <w:p>
      <w:r>
        <w:drawing>
          <wp:inline xmlns:a="http://schemas.openxmlformats.org/drawingml/2006/main" xmlns:pic="http://schemas.openxmlformats.org/drawingml/2006/picture">
            <wp:extent cx="5486400" cy="2834640"/>
            <wp:docPr id="3" name="Picture 3" descr="Govern data by purpose and access. A fictional project needs task scores and random participant codes, but not names. Supplied facts: The analysis table holds codes and scores. A separate restricted key links codes to names only for authorised withdrawal handling."/>
            <wp:cNvGraphicFramePr>
              <a:graphicFrameLocks noChangeAspect="1"/>
            </wp:cNvGraphicFramePr>
            <a:graphic>
              <a:graphicData uri="http://schemas.openxmlformats.org/drawingml/2006/picture">
                <pic:pic>
                  <pic:nvPicPr>
                    <pic:cNvPr id="0" name="academy-story-ai-7-20-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Govern data by purpose and access. A fictional project needs task scores and random participant codes, but not names. Supplied facts: The analysis table holds codes and scores.</w:t>
      </w:r>
    </w:p>
    <w:p>
      <w:pPr>
        <w:spacing w:line="336" w:lineRule="auto" w:after="180"/>
      </w:pPr>
      <w:r>
        <w:rPr>
          <w:b w:val="0"/>
        </w:rPr>
        <w:t>A separate restricted key links codes to names only for authorised withdrawal handling.</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4" name="Picture 4" descr="Separate tables: Keep analysis records apart from the identity key. → Limit access: Analysts receive scores and codes, not the name linkage. → Define retention: Apply the approved deletion schedule to both stores and listed copies."/>
            <wp:cNvGraphicFramePr>
              <a:graphicFrameLocks noChangeAspect="1"/>
            </wp:cNvGraphicFramePr>
            <a:graphic>
              <a:graphicData uri="http://schemas.openxmlformats.org/drawingml/2006/picture">
                <pic:pic>
                  <pic:nvPicPr>
                    <pic:cNvPr id="0" name="academy-story-ai-7-20-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Separate tables: Keep analysis records apart from the identity key. → Limit access: Analysts receive scores and codes, not the name linkage. → Define retention: Apply the approved deletion schedule to both stores and listed copies.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Keep analysis records separate from the identity key</w:t>
      </w:r>
    </w:p>
    <w:p>
      <w:r>
        <w:drawing>
          <wp:inline xmlns:a="http://schemas.openxmlformats.org/drawingml/2006/main" xmlns:pic="http://schemas.openxmlformats.org/drawingml/2006/picture">
            <wp:extent cx="5486400" cy="3520440"/>
            <wp:docPr id="5" name="Picture 5" descr="Analysts receive random participant codes and scores. A separate restricted key links codes to names only for authorised withdrawal handling. Keeping the key restricted reduces exposure; it does not guarantee anonymity."/>
            <wp:cNvGraphicFramePr>
              <a:graphicFrameLocks noChangeAspect="1"/>
            </wp:cNvGraphicFramePr>
            <a:graphic>
              <a:graphicData uri="http://schemas.openxmlformats.org/drawingml/2006/picture">
                <pic:pic>
                  <pic:nvPicPr>
                    <pic:cNvPr id="0" name="academy-story-ai-7-20-03.png"/>
                    <pic:cNvPicPr/>
                  </pic:nvPicPr>
                  <pic:blipFill>
                    <a:blip r:embed="rId13"/>
                    <a:stretch>
                      <a:fillRect/>
                    </a:stretch>
                  </pic:blipFill>
                  <pic:spPr>
                    <a:xfrm>
                      <a:off x="0" y="0"/>
                      <a:ext cx="5486400" cy="3520440"/>
                    </a:xfrm>
                    <a:prstGeom prst="rect"/>
                  </pic:spPr>
                </pic:pic>
              </a:graphicData>
            </a:graphic>
          </wp:inline>
        </w:drawing>
      </w:r>
    </w:p>
    <w:p>
      <w:pPr>
        <w:spacing w:line="336" w:lineRule="auto" w:after="180"/>
      </w:pPr>
      <w:r>
        <w:rPr>
          <w:b w:val="0"/>
        </w:rPr>
        <w:t>Analysts receive random participant codes and scores. A separate restricted key links codes to names only for authorised withdrawal handling. Keeping the key restricted reduces exposure; it does not guarantee anonymity.</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Apply the approved deletion schedule to both stores and listed copies. Changed condition: Publish the identity key with the analysis table. Expected result: The records become directly linkable to names and breach this access design. Reason: Separation only helps while the linkage key remains restricted."/>
            <wp:cNvGraphicFramePr>
              <a:graphicFrameLocks noChangeAspect="1"/>
            </wp:cNvGraphicFramePr>
            <a:graphic>
              <a:graphicData uri="http://schemas.openxmlformats.org/drawingml/2006/picture">
                <pic:pic>
                  <pic:nvPicPr>
                    <pic:cNvPr id="0" name="academy-story-ai-7-20-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Apply the approved deletion schedule to both stores and listed copies. Changed condition: Publish the identity key with the analysis table.</w:t>
      </w:r>
    </w:p>
    <w:p>
      <w:pPr>
        <w:spacing w:line="336" w:lineRule="auto" w:after="180"/>
      </w:pPr>
      <w:r>
        <w:rPr>
          <w:b w:val="0"/>
        </w:rPr>
        <w:t>Expected result: The records become directly linkable to names and breach this access design. Reason: Separation only helps while the linkage key remains restricted.</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Pseudonymous codes reduce routine exposure but are not the same as irreversible anonymity. Governance specifies purpose, readers, locations and retention. Limit: Small groups or unusual records may still be identifiable without names; evaluate re-identification risk."/>
            <wp:cNvGraphicFramePr>
              <a:graphicFrameLocks noChangeAspect="1"/>
            </wp:cNvGraphicFramePr>
            <a:graphic>
              <a:graphicData uri="http://schemas.openxmlformats.org/drawingml/2006/picture">
                <pic:pic>
                  <pic:nvPicPr>
                    <pic:cNvPr id="0" name="academy-story-ai-7-20-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Pseudonym</w:t>
      </w:r>
      <w:r>
        <w:rPr>
          <w:b w:val="0"/>
        </w:rPr>
        <w:t>ous codes reduce routine exposure but are not the same as irreversible anonymity. Governance specifies purpose, readers, locations and retention.</w:t>
      </w:r>
    </w:p>
    <w:p>
      <w:pPr>
        <w:spacing w:line="336" w:lineRule="auto" w:after="180"/>
      </w:pPr>
      <w:r>
        <w:rPr>
          <w:b w:val="0"/>
        </w:rPr>
        <w:t>Limit: Small groups or unusual records may still be identifiable without names; evaluate re-identification risk.</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Point to the analysis table and the restricted identity key. Why are the codes pseudonymous rather than guaranteed anonymous, and what changes if the key is published?"/>
            <wp:cNvGraphicFramePr>
              <a:graphicFrameLocks noChangeAspect="1"/>
            </wp:cNvGraphicFramePr>
            <a:graphic>
              <a:graphicData uri="http://schemas.openxmlformats.org/drawingml/2006/picture">
                <pic:pic>
                  <pic:nvPicPr>
                    <pic:cNvPr id="0" name="academy-story-ai-7-20-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Point to the analysis table and the restricted identity key.</w:t>
      </w:r>
    </w:p>
    <w:p>
      <w:pPr>
        <w:spacing w:line="336" w:lineRule="auto" w:after="180"/>
      </w:pPr>
      <w:r>
        <w:rPr>
          <w:b w:val="0"/>
        </w:rPr>
        <w:t xml:space="preserve">Why are the codes </w:t>
      </w:r>
      <w:r>
        <w:rPr>
          <w:b/>
        </w:rPr>
        <w:t>pseudonym</w:t>
      </w:r>
      <w:r>
        <w:rPr>
          <w:b w:val="0"/>
        </w:rPr>
        <w:t>ous rather than guaranteed anonymous, and what changes if the key is published?</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Privacy and data governance: the case</w:t>
      </w:r>
    </w:p>
    <w:p>
      <w:pPr>
        <w:pStyle w:val="Heading3"/>
      </w:pPr>
      <w:r>
        <w:t>02. Follow the deciding steps</w:t>
      </w:r>
    </w:p>
    <w:p>
      <w:pPr>
        <w:pStyle w:val="Heading3"/>
      </w:pPr>
      <w:r>
        <w:t>03. Keep analysis records separate from the identity key</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