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ai-7/23</w:t>
      </w:r>
    </w:p>
    <w:p>
      <w:pPr>
        <w:pStyle w:val="Title"/>
      </w:pPr>
      <w:r>
        <w:t>Power and resource tradeoffs</w:t>
      </w:r>
    </w:p>
    <w:p>
      <w:r>
        <w:t>Project: Reproducible AI Research Study</w:t>
      </w:r>
    </w:p>
    <w:p>
      <w:pPr>
        <w:pStyle w:val="Heading1"/>
      </w:pPr>
      <w:r>
        <w:t>One complete research-case evidence record.</w:t>
      </w:r>
    </w:p>
    <w:p>
      <w:r>
        <w:t>Distinguish supplied alternative-trial frequencies, per-study cost and unmeasured null error.</w:t>
      </w:r>
    </w:p>
    <w:p>
      <w:r>
        <w:t>Recall → W1–W3/W5 → independent case → project evidence → feedback and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Pilot experiments</w:t>
      </w:r>
    </w:p>
    <w:p>
      <w:pPr>
        <w:pStyle w:val="ListBullet"/>
      </w:pPr>
      <w:r>
        <w:t>Without opening the old lesson, explain one key idea from Pilot experiments.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Privacy and data governance</w:t>
      </w:r>
    </w:p>
    <w:p>
      <w:pPr>
        <w:pStyle w:val="ListBullet"/>
      </w:pPr>
      <w:r>
        <w:t>Without opening the old lesson, explain one key idea from Privacy and data governance.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Sensitivity analysis</w:t>
      </w:r>
    </w:p>
    <w:p>
      <w:pPr>
        <w:pStyle w:val="ListBullet"/>
      </w:pPr>
      <w:r>
        <w:t>Without opening the old lesson, explain one key idea from Sensitivity analysis.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Power concerns rejection probability under a specified alternative model, test and design. Supplied main simulation counts are sixty-two of one hundred at n = 20 and eighty-three of one hundred at n = 40: 62% and 83% estimated detection frequencies. At three credits per independent unit, per-study costs are sixty and one hundred twenty credits. The descriptive difference is twenty-one percentage points for sixty extra credits per study. Separate picture has sixty and eighty detections out of one hundred at the same sample sizes, with unit cost two: 60% and 80%, costs forty and eighty resource units. Keep these scenarios separate. Finite simulation estimates are not exact known power, and no simulations are executed by the arithmetic code. The null false-positive rate is unmeasured. Effect size, variability, unit dependence and test assumptions matter; changing them needs new model-specific planning. Per-study cost is different from total hypothetical work over all simulation trials. No actual billing, pupil study or guaranteed performance is supplied.</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quantity</w:t>
            </w:r>
          </w:p>
        </w:tc>
        <w:tc>
          <w:tcPr>
            <w:tcW w:type="dxa" w:w="3408"/>
          </w:tcPr>
          <w:p>
            <w:r>
              <w:t>n = 20</w:t>
            </w:r>
          </w:p>
        </w:tc>
        <w:tc>
          <w:tcPr>
            <w:tcW w:type="dxa" w:w="3408"/>
          </w:tcPr>
          <w:p>
            <w:r>
              <w:t>n = 40</w:t>
            </w:r>
          </w:p>
        </w:tc>
      </w:tr>
      <w:tr>
        <w:tc>
          <w:tcPr>
            <w:tcW w:type="dxa" w:w="3408"/>
          </w:tcPr>
          <w:p>
            <w:r>
              <w:t>Supplied detections / alternative trials</w:t>
            </w:r>
          </w:p>
        </w:tc>
        <w:tc>
          <w:tcPr>
            <w:tcW w:type="dxa" w:w="3408"/>
          </w:tcPr>
          <w:p>
            <w:r>
              <w:t>62/100</w:t>
            </w:r>
          </w:p>
        </w:tc>
        <w:tc>
          <w:tcPr>
            <w:tcW w:type="dxa" w:w="3408"/>
          </w:tcPr>
          <w:p>
            <w:r>
              <w:t>83/100</w:t>
            </w:r>
          </w:p>
        </w:tc>
      </w:tr>
      <w:tr>
        <w:tc>
          <w:tcPr>
            <w:tcW w:type="dxa" w:w="3408"/>
          </w:tcPr>
          <w:p>
            <w:r>
              <w:t>Estimated detection frequency</w:t>
            </w:r>
          </w:p>
        </w:tc>
        <w:tc>
          <w:tcPr>
            <w:tcW w:type="dxa" w:w="3408"/>
          </w:tcPr>
          <w:p>
            <w:r>
              <w:t>62%</w:t>
            </w:r>
          </w:p>
        </w:tc>
        <w:tc>
          <w:tcPr>
            <w:tcW w:type="dxa" w:w="3408"/>
          </w:tcPr>
          <w:p>
            <w:r>
              <w:t>83%</w:t>
            </w:r>
          </w:p>
        </w:tc>
      </w:tr>
      <w:tr>
        <w:tc>
          <w:tcPr>
            <w:tcW w:type="dxa" w:w="3408"/>
          </w:tcPr>
          <w:p>
            <w:r>
              <w:t>Independent units per study</w:t>
            </w:r>
          </w:p>
        </w:tc>
        <w:tc>
          <w:tcPr>
            <w:tcW w:type="dxa" w:w="3408"/>
          </w:tcPr>
          <w:p>
            <w:r>
              <w:t>20</w:t>
            </w:r>
          </w:p>
        </w:tc>
        <w:tc>
          <w:tcPr>
            <w:tcW w:type="dxa" w:w="3408"/>
          </w:tcPr>
          <w:p>
            <w:r>
              <w:t>40</w:t>
            </w:r>
          </w:p>
        </w:tc>
      </w:tr>
      <w:tr>
        <w:tc>
          <w:tcPr>
            <w:tcW w:type="dxa" w:w="3408"/>
          </w:tcPr>
          <w:p>
            <w:r>
              <w:t>Per-unit cost</w:t>
            </w:r>
          </w:p>
        </w:tc>
        <w:tc>
          <w:tcPr>
            <w:tcW w:type="dxa" w:w="3408"/>
          </w:tcPr>
          <w:p>
            <w:r>
              <w:t>3 credits</w:t>
            </w:r>
          </w:p>
        </w:tc>
        <w:tc>
          <w:tcPr>
            <w:tcW w:type="dxa" w:w="3408"/>
          </w:tcPr>
          <w:p>
            <w:r>
              <w:t>3 credits</w:t>
            </w:r>
          </w:p>
        </w:tc>
      </w:tr>
      <w:tr>
        <w:tc>
          <w:tcPr>
            <w:tcW w:type="dxa" w:w="3408"/>
          </w:tcPr>
          <w:p>
            <w:r>
              <w:t>Per-study cost</w:t>
            </w:r>
          </w:p>
        </w:tc>
        <w:tc>
          <w:tcPr>
            <w:tcW w:type="dxa" w:w="3408"/>
          </w:tcPr>
          <w:p>
            <w:r>
              <w:t>20 × 3 = 60 credits</w:t>
            </w:r>
          </w:p>
        </w:tc>
        <w:tc>
          <w:tcPr>
            <w:tcW w:type="dxa" w:w="3408"/>
          </w:tcPr>
          <w:p>
            <w:r>
              <w:t>40 × 3 = 120 credits</w:t>
            </w:r>
          </w:p>
        </w:tc>
      </w:tr>
      <w:tr>
        <w:tc>
          <w:tcPr>
            <w:tcW w:type="dxa" w:w="3408"/>
          </w:tcPr>
          <w:p>
            <w:r>
              <w:t>Large minus small</w:t>
            </w:r>
          </w:p>
        </w:tc>
        <w:tc>
          <w:tcPr>
            <w:tcW w:type="dxa" w:w="3408"/>
          </w:tcPr>
          <w:p>
            <w:r>
              <w:t>21 percentage points more observed detection</w:t>
            </w:r>
          </w:p>
        </w:tc>
        <w:tc>
          <w:tcPr>
            <w:tcW w:type="dxa" w:w="3408"/>
          </w:tcPr>
          <w:p>
            <w:r>
              <w:t>60 extra credits per study</w:t>
            </w:r>
          </w:p>
        </w:tc>
      </w:tr>
      <w:tr>
        <w:tc>
          <w:tcPr>
            <w:tcW w:type="dxa" w:w="3408"/>
          </w:tcPr>
          <w:p>
            <w:r>
              <w:t>Null error and actual-study guarantee</w:t>
            </w:r>
          </w:p>
        </w:tc>
        <w:tc>
          <w:tcPr>
            <w:tcW w:type="dxa" w:w="3408"/>
          </w:tcPr>
          <w:p>
            <w:r>
              <w:t>Not supplied</w:t>
            </w:r>
          </w:p>
        </w:tc>
        <w:tc>
          <w:tcPr>
            <w:tcW w:type="dxa" w:w="3408"/>
          </w:tcPr>
          <w:p>
            <w:r>
              <w:t>Not supplied</w:t>
            </w:r>
          </w:p>
        </w:tc>
      </w:tr>
    </w:tbl>
    <w:p>
      <w:pPr>
        <w:pStyle w:val="ListBullet"/>
      </w:pPr>
      <w:r>
        <w:t>Power concerns rejection probability under a specified alternative model, test and design. Supplied main simulation counts are sixty-two of one hundred at n = 20 and eighty-three of one hundred at n = 40: 62% and 83% estimated detection frequencies. At three credits per independent unit, per-study costs are sixty and one hundred twenty credits. The descriptive difference is twenty-one percentage points for sixty extra credits per study. Separate picture has sixty and eighty detections out of one hundred at the same sample sizes, with unit cost two: 60% and 80%, costs forty and eighty resource units. Keep these scenarios separate. Finite simulation estimates are not exact known power, and no simulations are executed by the arithmetic code. The null false-positive rate is unmeasured. Effect size, variability, unit dependence and test assumptions matter; changing them needs new model-specific planning. Per-study cost is different from total hypothetical work over all simulation trials. No actual billing, pupil study or guaranteed performance is supplied.</w:t>
      </w:r>
    </w:p>
    <w:p>
      <w:pPr>
        <w:pStyle w:val="ListBullet"/>
      </w:pPr>
      <w:r>
        <w:t>For a fixed alternative 100 simulations detect 62 times at n 20 and83 at n 40. Per-unit cost 3 credits.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Power concerns rejection probability under a specified alternative model, test and design. Supplied main simulation counts are sixty-two of one hundred at n = 20 and eighty-three of one hundred at n = 40: 62% and 83% estimated detection frequencies. At three credits per independent unit, per-study costs are sixty and one hundred twenty credits. The descriptive difference is twenty-one percentage points for sixty extra credits per study. Separate picture has sixty and eighty detections out of one hundred at the same sample sizes, with unit cost two: 60% and 80%, costs forty and eighty resource units. Keep these scenarios separate. Finite simulation estimates are not exact known power, and no simulations are executed by the arithmetic code. The null false-positive rate is unmeasured. Effect size, variability, unit dependence and test assumptions matter; changing them needs new model-specific planning. Per-study cost is different from total hypothetical work over all simulation trials. No actual billing, pupil study or guaranteed performance is supplied.</w:t>
      </w:r>
    </w:p>
    <w:p>
      <w:pPr>
        <w:pStyle w:val="ListBullet"/>
      </w:pPr>
      <w:r>
        <w:t>A report omits this qualification: Power estimates do not repair biased sampling or establish the probability a particular hypothesis is true.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Power concerns rejection probability under a specified alternative model, test and design. Supplied main simulation counts are sixty-two of one hundred at n = 20 and eighty-three of one hundred at n = 40: 62% and 83% estimated detection frequencies. At three credits per independent unit, per-study costs are sixty and one hundred twenty credits. The descriptive difference is twenty-one percentage points for sixty extra credits per study. Separate picture has sixty and eighty detections out of one hundred at the same sample sizes, with unit cost two: 60% and 80%, costs forty and eighty resource units. Keep these scenarios separate. Finite simulation estimates are not exact known power, and no simulations are executed by the arithmetic code. The null false-positive rate is unmeasured. Effect size, variability, unit dependence and test assumptions matter; changing them needs new model-specific planning. Per-study cost is different from total hypothetical work over all simulation trials. No actual billing, pupil study or guaranteed performance is supplied.</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One hundred alternative trials detect 70 at n 30 and85 at n 60; unit cost 2. Compare.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power and resource tradeoffs evidence sheet to Reproducible AI Research Study. Show how you can explain the mechanism and terminology of power and resource tradeoffs.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Power and resource tradeoffs.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Power and resource tradeoffs.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One hundred alternative trials detect 70 at n 30 and85 at n 60; unit cost 2. Compare.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r>
        <w:drawing>
          <wp:inline xmlns:a="http://schemas.openxmlformats.org/drawingml/2006/main" xmlns:pic="http://schemas.openxmlformats.org/drawingml/2006/picture">
            <wp:extent cx="5486400" cy="2992582"/>
            <wp:docPr id="1" name="Picture 1" descr="Main stipulated alternative simulations detect sixty-two of one hundred at twenty units and eighty-three of one hundred at forty units. Separate cost panel shows sixty versus one hundred twenty credits per study at three credits per unit. Detection differs by twenty-one percentage points; cost by sixty credits. Null error is unmeasured."/>
            <wp:cNvGraphicFramePr>
              <a:graphicFrameLocks noChangeAspect="1"/>
            </wp:cNvGraphicFramePr>
            <a:graphic>
              <a:graphicData uri="http://schemas.openxmlformats.org/drawingml/2006/picture">
                <pic:pic>
                  <pic:nvPicPr>
                    <pic:cNvPr id="0" name="ai-7-23-power-cost.png"/>
                    <pic:cNvPicPr/>
                  </pic:nvPicPr>
                  <pic:blipFill>
                    <a:blip r:embed="rId9"/>
                    <a:stretch>
                      <a:fillRect/>
                    </a:stretch>
                  </pic:blipFill>
                  <pic:spPr>
                    <a:xfrm>
                      <a:off x="0" y="0"/>
                      <a:ext cx="5486400" cy="2992582"/>
                    </a:xfrm>
                    <a:prstGeom prst="rect"/>
                  </pic:spPr>
                </pic:pic>
              </a:graphicData>
            </a:graphic>
          </wp:inline>
        </w:drawing>
      </w:r>
    </w:p>
    <w:p>
      <w:pPr>
        <w:pStyle w:val="ListBullet"/>
      </w:pPr>
      <w:r>
        <w:t>A simulated detection-and-resource trade-off. A fictional simulation repeats a study under the same assumed alternative effect, using two independent-unit sample sizes.</w:t>
      </w:r>
    </w:p>
    <w:p>
      <w:pPr>
        <w:pStyle w:val="ListBullet"/>
      </w:pPr>
      <w:r>
        <w:t>There are 100 simulation trials per design. At n=20, 60 detect the specified effect; at n=40, 80 detect it. Each independent unit costs 2 resource units. Same test and effect assumptions are used.</w:t>
      </w:r>
    </w:p>
    <w:p>
      <w:r>
        <w:drawing>
          <wp:inline xmlns:a="http://schemas.openxmlformats.org/drawingml/2006/main" xmlns:pic="http://schemas.openxmlformats.org/drawingml/2006/picture">
            <wp:extent cx="5486400" cy="3077029"/>
            <wp:docPr id="2" name="Picture 2" descr="Stipulated simulation and resource records"/>
            <wp:cNvGraphicFramePr>
              <a:graphicFrameLocks noChangeAspect="1"/>
            </wp:cNvGraphicFramePr>
            <a:graphic>
              <a:graphicData uri="http://schemas.openxmlformats.org/drawingml/2006/picture">
                <pic:pic>
                  <pic:nvPicPr>
                    <pic:cNvPr id="0" name="academy-detail-ai-7-23.png"/>
                    <pic:cNvPicPr/>
                  </pic:nvPicPr>
                  <pic:blipFill>
                    <a:blip r:embed="rId1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25143"/>
            <wp:docPr id="3" name="Picture 3" descr="Power and resource tradeoffs. Estimate simulated detection: Observed detection fractions are 60/100=60% and 80/100=80%.. Calculate design cost: n=20 costs 40 resource units; n=40 costs 80 units.. Compare the trade-off: Doubling cost adds 20 percentage points of simulated detection under these assumptions."/>
            <wp:cNvGraphicFramePr>
              <a:graphicFrameLocks noChangeAspect="1"/>
            </wp:cNvGraphicFramePr>
            <a:graphic>
              <a:graphicData uri="http://schemas.openxmlformats.org/drawingml/2006/picture">
                <pic:pic>
                  <pic:nvPicPr>
                    <pic:cNvPr id="0" name="academy-visual-ai-7-23.png"/>
                    <pic:cNvPicPr/>
                  </pic:nvPicPr>
                  <pic:blipFill>
                    <a:blip r:embed="rId11"/>
                    <a:stretch>
                      <a:fillRect/>
                    </a:stretch>
                  </pic:blipFill>
                  <pic:spPr>
                    <a:xfrm>
                      <a:off x="0" y="0"/>
                      <a:ext cx="5486400" cy="5225143"/>
                    </a:xfrm>
                    <a:prstGeom prst="rect"/>
                  </pic:spPr>
                </pic:pic>
              </a:graphicData>
            </a:graphic>
          </wp:inline>
        </w:drawing>
      </w:r>
    </w:p>
    <w:p>
      <w:pPr>
        <w:pStyle w:val="ListBullet"/>
      </w:pPr>
      <w:r>
        <w:t>Calculate both simulated detection fractions and resource costs. What additional detection is observed for the extra forty units, and does that establish power for an actual classroom study?</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Evaluate and revise. Compare with your starting method, explain errors and record a justified revision.</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A simulated detection-and-resource trade-off. A fictional simulation repeats a study under the same assumed alternative effect, using two independent-unit sample sizes.</w:t>
      </w:r>
    </w:p>
    <w:p>
      <w:pPr>
        <w:pStyle w:val="Heading3"/>
      </w:pPr>
      <w:r>
        <w:t>Practice 1: explain the deciding evidence</w:t>
      </w:r>
    </w:p>
    <w:p>
      <w:pPr>
        <w:pStyle w:val="ListBullet"/>
      </w:pPr>
      <w:r>
        <w:t>Which labelled step matches this detail? Doubling cost adds 20 percentage points of simulated detection under these assumptions.</w:t>
      </w:r>
    </w:p>
    <w:p>
      <w:pPr>
        <w:pStyle w:val="ListBullet"/>
      </w:pPr>
      <w:r>
        <w:t>1. Compare the trade-off</w:t>
      </w:r>
    </w:p>
    <w:p>
      <w:pPr>
        <w:pStyle w:val="ListBullet"/>
      </w:pPr>
      <w:r>
        <w:t>2. Estimate simulated detection</w:t>
      </w:r>
    </w:p>
    <w:p>
      <w:pPr>
        <w:pStyle w:val="ListBullet"/>
      </w:pPr>
      <w:r>
        <w:t>3. Calculate design cost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Compare the trade-off Doubling cost adds 20 percentage points of simulated detection under these assumptions.</w:t>
      </w:r>
    </w:p>
    <w:p>
      <w:pPr>
        <w:spacing w:line="336" w:lineRule="auto" w:after="180"/>
      </w:pPr>
      <w:r>
        <w:rPr>
          <w:b/>
        </w:rPr>
        <w:t>Power</w:t>
      </w:r>
      <w:r>
        <w:rPr>
          <w:b w:val="0"/>
        </w:rPr>
        <w:t xml:space="preserve"> is the probability of detecting a specified effect under a specified model and decision rule.</w:t>
      </w:r>
    </w:p>
    <w:p>
      <w:pPr>
        <w:spacing w:line="336" w:lineRule="auto" w:after="180"/>
      </w:pPr>
      <w:r>
        <w:rPr>
          <w:b w:val="0"/>
        </w:rPr>
        <w:t>Repeated simulation can estimate it; the estimate depends on effect size, variability, design and test assumptions, not sample size alone.</w:t>
      </w:r>
    </w:p>
    <w:p>
      <w:pPr>
        <w:pStyle w:val="Heading2"/>
      </w:pPr>
      <w:r>
        <w:t>Changed-case question and optional hint</w:t>
      </w:r>
    </w:p>
    <w:p>
      <w:pPr>
        <w:pStyle w:val="Heading3"/>
      </w:pPr>
      <w:r>
        <w:t>Practice 2: explain the deciding evidence</w:t>
      </w:r>
    </w:p>
    <w:p>
      <w:pPr>
        <w:pStyle w:val="ListBullet"/>
      </w:pPr>
      <w:r>
        <w:t>Changed-case practice: Change the assumed effect or variability but keep the sample sizes.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The detection fractions need new simulation; the resource costs stay 40 and 80.</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detection fractions need new simulation; the resource costs stay 40 and 80.</w:t>
      </w:r>
    </w:p>
    <w:p>
      <w:pPr>
        <w:spacing w:line="336" w:lineRule="auto" w:after="180"/>
      </w:pPr>
      <w:r>
        <w:rPr>
          <w:b/>
        </w:rPr>
        <w:t>Power</w:t>
      </w:r>
      <w:r>
        <w:rPr>
          <w:b w:val="0"/>
        </w:rPr>
        <w:t xml:space="preserve"> depends on the data-generating assumptions, while this stated unit-cost calculation does not.</w:t>
      </w:r>
    </w:p>
    <w:p>
      <w:pPr>
        <w:pStyle w:val="Heading2"/>
      </w:pPr>
      <w:r>
        <w:t>Repair and retain the record</w:t>
      </w:r>
    </w:p>
    <w:p>
      <w:pPr>
        <w:spacing w:line="336" w:lineRule="auto" w:after="180"/>
      </w:pPr>
      <w:r>
        <w:rPr>
          <w:b w:val="0"/>
        </w:rPr>
        <w:t xml:space="preserve">Review Pilot experiments (ai-7/22). Goal: Explain the </w:t>
      </w:r>
      <w:r>
        <w:rPr>
          <w:b/>
        </w:rPr>
        <w:t>mechanism</w:t>
      </w:r>
      <w:r>
        <w:rPr>
          <w:b w:val="0"/>
        </w:rPr>
        <w:t xml:space="preserve"> and terminology of pilot experiments. Short practice: Calculate reviewer agreement on the four pilot answers.</w:t>
      </w:r>
    </w:p>
    <w:p>
      <w:pPr>
        <w:spacing w:line="336" w:lineRule="auto" w:after="180"/>
      </w:pPr>
      <w:r>
        <w:rPr>
          <w:b w:val="0"/>
        </w:rPr>
        <w:t xml:space="preserve">What can the disagreement improve, and why are those revised practice answers not untouched final </w:t>
      </w:r>
      <w:r>
        <w:rPr>
          <w:b/>
        </w:rPr>
        <w:t>evidence</w:t>
      </w:r>
      <w:r>
        <w:rPr>
          <w:b w:val="0"/>
        </w:rPr>
        <w:t>?. Return to this week and explain what you changed.</w:t>
      </w:r>
    </w:p>
    <w:p>
      <w:pPr>
        <w:spacing w:line="336" w:lineRule="auto" w:after="180"/>
      </w:pPr>
      <w:r>
        <w:rPr>
          <w:b w:val="0"/>
        </w:rPr>
        <w:t xml:space="preserve">Review Privacy and data governance (ai-7/20). Goal: Explain the </w:t>
      </w:r>
      <w:r>
        <w:rPr>
          <w:b/>
        </w:rPr>
        <w:t>mechanism</w:t>
      </w:r>
      <w:r>
        <w:rPr>
          <w:b w:val="0"/>
        </w:rPr>
        <w:t xml:space="preserve"> and terminology of privacy and data governance. Short practice: Point to the analysis table and the restricted identity key.</w:t>
      </w:r>
    </w:p>
    <w:p>
      <w:pPr>
        <w:spacing w:line="336" w:lineRule="auto" w:after="180"/>
      </w:pPr>
      <w:r>
        <w:rPr>
          <w:b w:val="0"/>
        </w:rPr>
        <w:t>Why are the codes pseudonymous rather than guaranteed anonymous, and what changes if the key is published?. Return to this week and explain what you changed.</w:t>
      </w:r>
    </w:p>
    <w:p>
      <w:pPr>
        <w:spacing w:line="336" w:lineRule="auto" w:after="180"/>
      </w:pPr>
      <w:r>
        <w:rPr>
          <w:b w:val="0"/>
        </w:rPr>
        <w:t xml:space="preserve">Review Sensitivity analysis (ai-7/17). Goal: Explain the </w:t>
      </w:r>
      <w:r>
        <w:rPr>
          <w:b/>
        </w:rPr>
        <w:t>mechanism</w:t>
      </w:r>
      <w:r>
        <w:rPr>
          <w:b w:val="0"/>
        </w:rPr>
        <w:t xml:space="preserve"> and terminology of sensitivity analysis. Short practice: Classify 0.4, 0.6 and 0.8 at cutoffs 0.5, 0.7 and exactly 0.6.</w:t>
      </w:r>
    </w:p>
    <w:p>
      <w:pPr>
        <w:spacing w:line="336" w:lineRule="auto" w:after="180"/>
      </w:pPr>
      <w:r>
        <w:rPr>
          <w:b w:val="0"/>
        </w:rPr>
        <w:t>Which equality rule decides the boundary, and can these unlabelled scores identify the best cutoff?.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Power and resource tradeoffs: the case</w:t>
      </w:r>
    </w:p>
    <w:p>
      <w:r>
        <w:drawing>
          <wp:inline xmlns:a="http://schemas.openxmlformats.org/drawingml/2006/main" xmlns:pic="http://schemas.openxmlformats.org/drawingml/2006/picture">
            <wp:extent cx="5486400" cy="2843784"/>
            <wp:docPr id="4" name="Picture 4" descr="A simulated detection-and-resource trade-off. A fictional simulation repeats a study under the same assumed alternative effect, using two independent-unit sample sizes. Supplied facts: There are 100 simulation trials per design. At n=20, 60 detect the specified effect; at n=40, 80 detect it. Each independent unit costs 2 resource units. Same test and effect assumptions are used."/>
            <wp:cNvGraphicFramePr>
              <a:graphicFrameLocks noChangeAspect="1"/>
            </wp:cNvGraphicFramePr>
            <a:graphic>
              <a:graphicData uri="http://schemas.openxmlformats.org/drawingml/2006/picture">
                <pic:pic>
                  <pic:nvPicPr>
                    <pic:cNvPr id="0" name="academy-story-ai-7-23-01.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A simulated detection-and-resource trade-off. A fictional simulation repeats a study under the same assumed alternative effect, using two independent-unit sample sizes.</w:t>
      </w:r>
    </w:p>
    <w:p>
      <w:pPr>
        <w:spacing w:line="336" w:lineRule="auto" w:after="180"/>
      </w:pPr>
      <w:r>
        <w:rPr>
          <w:b w:val="0"/>
        </w:rPr>
        <w:t xml:space="preserve">Supplied facts: There are 100 </w:t>
      </w:r>
      <w:r>
        <w:rPr>
          <w:b/>
        </w:rPr>
        <w:t>simulation trial</w:t>
      </w:r>
      <w:r>
        <w:rPr>
          <w:b w:val="0"/>
        </w:rPr>
        <w:t>s per design. At n=20, 60 detect the specified effect; at n=40, 80 detect it. Each independent unit costs 2 resource units. Same test and effect assumptions are used.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337560"/>
            <wp:docPr id="5" name="Picture 5" descr="Estimate simulated detection: Observed detection fractions are 60/100=60% and 80/100=80%. → Calculate design cost: n=20 costs 40 resource units; n=40 costs 80 units. → Compare the trade-off: Doubling cost adds 20 percentage points of simulated detection under these assumptions."/>
            <wp:cNvGraphicFramePr>
              <a:graphicFrameLocks noChangeAspect="1"/>
            </wp:cNvGraphicFramePr>
            <a:graphic>
              <a:graphicData uri="http://schemas.openxmlformats.org/drawingml/2006/picture">
                <pic:pic>
                  <pic:nvPicPr>
                    <pic:cNvPr id="0" name="academy-story-ai-7-23-02.png"/>
                    <pic:cNvPicPr/>
                  </pic:nvPicPr>
                  <pic:blipFill>
                    <a:blip r:embed="rId13"/>
                    <a:stretch>
                      <a:fillRect/>
                    </a:stretch>
                  </pic:blipFill>
                  <pic:spPr>
                    <a:xfrm>
                      <a:off x="0" y="0"/>
                      <a:ext cx="5486400" cy="3337560"/>
                    </a:xfrm>
                    <a:prstGeom prst="rect"/>
                  </pic:spPr>
                </pic:pic>
              </a:graphicData>
            </a:graphic>
          </wp:inline>
        </w:drawing>
      </w:r>
    </w:p>
    <w:p>
      <w:pPr>
        <w:spacing w:line="336" w:lineRule="auto" w:after="180"/>
      </w:pPr>
      <w:r>
        <w:rPr>
          <w:b w:val="0"/>
        </w:rPr>
        <w:t>Estimate simulated detection: Observed detection fractions are 60/100=</w:t>
      </w:r>
      <w:r>
        <w:rPr>
          <w:b/>
        </w:rPr>
        <w:t>60%</w:t>
      </w:r>
      <w:r>
        <w:rPr>
          <w:b w:val="0"/>
        </w:rPr>
        <w:t xml:space="preserve"> and 80/100=</w:t>
      </w:r>
      <w:r>
        <w:rPr>
          <w:b/>
        </w:rPr>
        <w:t>80%</w:t>
      </w:r>
      <w:r>
        <w:rPr>
          <w:b w:val="0"/>
        </w:rPr>
        <w:t>. → Calculate design cost: n=20 costs 40 resource units; n=40 costs 80 units. → Compare the trade-off: Doubling cost adds 20 percentage points of simulated detection under these assumptions.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Stipulated simulation and resource records</w:t>
      </w:r>
    </w:p>
    <w:p>
      <w:r>
        <w:drawing>
          <wp:inline xmlns:a="http://schemas.openxmlformats.org/drawingml/2006/main" xmlns:pic="http://schemas.openxmlformats.org/drawingml/2006/picture">
            <wp:extent cx="5486400" cy="3096768"/>
            <wp:docPr id="6" name="Picture 6" descr="Stipulated simulation and resource records. Smaller design: Independent units = 20, Detections = 60, Trials = 100, Cost units = 40. Larger design: Independent units = 40, Detections = 80, Trials = 100, Cost units = 80."/>
            <wp:cNvGraphicFramePr>
              <a:graphicFrameLocks noChangeAspect="1"/>
            </wp:cNvGraphicFramePr>
            <a:graphic>
              <a:graphicData uri="http://schemas.openxmlformats.org/drawingml/2006/picture">
                <pic:pic>
                  <pic:nvPicPr>
                    <pic:cNvPr id="0" name="academy-story-ai-7-23-03.png"/>
                    <pic:cNvPicPr/>
                  </pic:nvPicPr>
                  <pic:blipFill>
                    <a:blip r:embed="rId14"/>
                    <a:stretch>
                      <a:fillRect/>
                    </a:stretch>
                  </pic:blipFill>
                  <pic:spPr>
                    <a:xfrm>
                      <a:off x="0" y="0"/>
                      <a:ext cx="5486400" cy="3096768"/>
                    </a:xfrm>
                    <a:prstGeom prst="rect"/>
                  </pic:spPr>
                </pic:pic>
              </a:graphicData>
            </a:graphic>
          </wp:inline>
        </w:drawing>
      </w:r>
    </w:p>
    <w:p>
      <w:pPr>
        <w:spacing w:line="336" w:lineRule="auto" w:after="180"/>
      </w:pPr>
      <w:r>
        <w:rPr>
          <w:b w:val="0"/>
        </w:rPr>
        <w:t>Stipulated simulation and resource records. Smaller design: Independent units = 20, Detections = 60, Trials = 100, Cost units = 40. Larger design: Independent units = 40, Detections = 80, Trials = 100, Cost units = 80.</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191256"/>
            <wp:docPr id="7" name="Picture 7" descr="Original case: Doubling cost adds 20 percentage points of simulated detection under these assumptions. Changed condition: Change the assumed effect or variability but keep the sample sizes. Expected result: The detection fractions need new simulation; the resource costs stay 40 and 80. Reason: Power depends on the data-generating assumptions, while this stated unit-cost calculation does not."/>
            <wp:cNvGraphicFramePr>
              <a:graphicFrameLocks noChangeAspect="1"/>
            </wp:cNvGraphicFramePr>
            <a:graphic>
              <a:graphicData uri="http://schemas.openxmlformats.org/drawingml/2006/picture">
                <pic:pic>
                  <pic:nvPicPr>
                    <pic:cNvPr id="0" name="academy-story-ai-7-23-04.png"/>
                    <pic:cNvPicPr/>
                  </pic:nvPicPr>
                  <pic:blipFill>
                    <a:blip r:embed="rId15"/>
                    <a:stretch>
                      <a:fillRect/>
                    </a:stretch>
                  </pic:blipFill>
                  <pic:spPr>
                    <a:xfrm>
                      <a:off x="0" y="0"/>
                      <a:ext cx="5486400" cy="3191256"/>
                    </a:xfrm>
                    <a:prstGeom prst="rect"/>
                  </pic:spPr>
                </pic:pic>
              </a:graphicData>
            </a:graphic>
          </wp:inline>
        </w:drawing>
      </w:r>
    </w:p>
    <w:p>
      <w:pPr>
        <w:spacing w:line="336" w:lineRule="auto" w:after="180"/>
      </w:pPr>
      <w:r>
        <w:rPr>
          <w:b w:val="0"/>
        </w:rPr>
        <w:t>Original case: Doubling cost adds 20 percentage points of simulated detection under these assumptions. Changed condition: Change the assumed effect or variability but keep the sample sizes.</w:t>
      </w:r>
    </w:p>
    <w:p>
      <w:pPr>
        <w:spacing w:line="336" w:lineRule="auto" w:after="180"/>
      </w:pPr>
      <w:r>
        <w:rPr>
          <w:b w:val="0"/>
        </w:rPr>
        <w:t xml:space="preserve">Expected result: The detection fractions need new simulation; the resource costs stay 40 and 80. Reason: </w:t>
      </w:r>
      <w:r>
        <w:rPr>
          <w:b/>
        </w:rPr>
        <w:t>Power</w:t>
      </w:r>
      <w:r>
        <w:rPr>
          <w:b w:val="0"/>
        </w:rPr>
        <w:t xml:space="preserve"> depends on the data-generating assumptions, while this stated unit-cost calculation does not.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Power is the probability of detecting a specified effect under a specified model and decision rule. Repeated simulation can estimate it; the estimate depends on effect size, variability, design and test assumptions, not sample size alone. Limit: Only 100 trials per design produce noisy estimates. They are fictional stipulated results, not executed simulation or evidence about pupils."/>
            <wp:cNvGraphicFramePr>
              <a:graphicFrameLocks noChangeAspect="1"/>
            </wp:cNvGraphicFramePr>
            <a:graphic>
              <a:graphicData uri="http://schemas.openxmlformats.org/drawingml/2006/picture">
                <pic:pic>
                  <pic:nvPicPr>
                    <pic:cNvPr id="0" name="academy-story-ai-7-23-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rPr>
        <w:t>Power</w:t>
      </w:r>
      <w:r>
        <w:rPr>
          <w:b w:val="0"/>
        </w:rPr>
        <w:t xml:space="preserve"> is the probability of detecting a specified effect under a specified model and decision rule.</w:t>
      </w:r>
    </w:p>
    <w:p>
      <w:pPr>
        <w:spacing w:line="336" w:lineRule="auto" w:after="180"/>
      </w:pPr>
      <w:r>
        <w:rPr>
          <w:b w:val="0"/>
        </w:rPr>
        <w:t>Repeated simulation can estimate it; the estimate depends on effect size, variability, design and test assumptions, not sample size alone. Limit: Only 100 trials per design produce noisy estimates.</w:t>
      </w:r>
    </w:p>
    <w:p>
      <w:pPr>
        <w:spacing w:line="336" w:lineRule="auto" w:after="180"/>
      </w:pPr>
      <w:r>
        <w:rPr>
          <w:b w:val="0"/>
        </w:rPr>
        <w:t xml:space="preserve">They are fictional stipulated results, not executed simulation or </w:t>
      </w:r>
      <w:r>
        <w:rPr>
          <w:b/>
        </w:rPr>
        <w:t>evidence</w:t>
      </w:r>
      <w:r>
        <w:rPr>
          <w:b w:val="0"/>
        </w:rPr>
        <w:t xml:space="preserve"> about pupils.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both simulated detection fractions and resource costs. What additional detection is observed for the extra forty units, and does that establish power for an actual classroom study?"/>
            <wp:cNvGraphicFramePr>
              <a:graphicFrameLocks noChangeAspect="1"/>
            </wp:cNvGraphicFramePr>
            <a:graphic>
              <a:graphicData uri="http://schemas.openxmlformats.org/drawingml/2006/picture">
                <pic:pic>
                  <pic:nvPicPr>
                    <pic:cNvPr id="0" name="academy-story-ai-7-23-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both simulated detection fractions and resource costs.</w:t>
      </w:r>
    </w:p>
    <w:p>
      <w:pPr>
        <w:spacing w:line="336" w:lineRule="auto" w:after="180"/>
      </w:pPr>
      <w:r>
        <w:rPr>
          <w:b w:val="0"/>
        </w:rPr>
        <w:t xml:space="preserve">What additional detection is observed for the extra forty units, and does that establish </w:t>
      </w:r>
      <w:r>
        <w:rPr>
          <w:b/>
        </w:rPr>
        <w:t>power</w:t>
      </w:r>
      <w:r>
        <w:rPr>
          <w:b w:val="0"/>
        </w:rPr>
        <w:t xml:space="preserve"> for an actual classroom study?</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Power and resource tradeoffs: the case</w:t>
      </w:r>
    </w:p>
    <w:p>
      <w:pPr>
        <w:pStyle w:val="Heading3"/>
      </w:pPr>
      <w:r>
        <w:t>02. Follow the deciding steps</w:t>
      </w:r>
    </w:p>
    <w:p>
      <w:pPr>
        <w:pStyle w:val="Heading3"/>
      </w:pPr>
      <w:r>
        <w:t>03. Stipulated simulation and resource records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