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ai-7/25</w:t>
      </w:r>
    </w:p>
    <w:p>
      <w:pPr>
        <w:pStyle w:val="Title"/>
      </w:pPr>
      <w:r>
        <w:t>Running the primary experiment</w:t>
      </w:r>
    </w:p>
    <w:p>
      <w:r>
        <w:t>Project: Reproducible AI Research Study</w:t>
      </w:r>
    </w:p>
    <w:p>
      <w:pPr>
        <w:pStyle w:val="Heading1"/>
      </w:pPr>
      <w:r>
        <w:t>One complete research-case evidence record.</w:t>
      </w:r>
    </w:p>
    <w:p>
      <w:r>
        <w:t>Report completion coverage, paired failures and later revisions without hiding missing cases.</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Reproducible environment and records</w:t>
      </w:r>
    </w:p>
    <w:p>
      <w:pPr>
        <w:pStyle w:val="ListBullet"/>
      </w:pPr>
      <w:r>
        <w:t>Without opening the old lesson, explain one key idea from Reproducible environment and records.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Pilot experiments</w:t>
      </w:r>
    </w:p>
    <w:p>
      <w:pPr>
        <w:pStyle w:val="ListBullet"/>
      </w:pPr>
      <w:r>
        <w:t>Without opening the old lesson, explain one key idea from Pilot experiments.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Research ethics and consent</w:t>
      </w:r>
    </w:p>
    <w:p>
      <w:pPr>
        <w:pStyle w:val="ListBullet"/>
      </w:pPr>
      <w:r>
        <w:t>Without opening the old lesson, explain one key idea from Research ethics and consent.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A primary experiment follows the fixed plan, preserves raw outcomes and reports deviations separately. Main twenty eligible cases include sixteen passes, two failures and two unassessed after outage. Completed count is eighteen. Planned completed-case pass rate is 16/18 ≈ 88.889%; coverage is 18/20 = 90%, with two unassessed outcomes explicit. The different 16/20 rate is not the same metric. Do not assume missing outcomes match completed ones or silently retry away failures. Separate frozen six-case picture has A flags 1, 0, 1, 1, 0, 1 and B flags 1, 1, 1, 0, 1, 1: totals four and five. B wins C2/C5, A wins C4, with three ties. Net gain one hides three changed cases. Tuning B using C4 creates a later revision; same-set rescoring is development evidence and the revised score is unknown. Supplied records establish no real model execution, significance or population advantage.</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quantity</w:t>
            </w:r>
          </w:p>
        </w:tc>
        <w:tc>
          <w:tcPr>
            <w:tcW w:type="dxa" w:w="3408"/>
          </w:tcPr>
          <w:p>
            <w:r>
              <w:t>Calculation</w:t>
            </w:r>
          </w:p>
        </w:tc>
        <w:tc>
          <w:tcPr>
            <w:tcW w:type="dxa" w:w="3408"/>
          </w:tcPr>
          <w:p>
            <w:r>
              <w:t>Interpretation</w:t>
            </w:r>
          </w:p>
        </w:tc>
      </w:tr>
      <w:tr>
        <w:tc>
          <w:tcPr>
            <w:tcW w:type="dxa" w:w="3408"/>
          </w:tcPr>
          <w:p>
            <w:r>
              <w:t>Eligible</w:t>
            </w:r>
          </w:p>
        </w:tc>
        <w:tc>
          <w:tcPr>
            <w:tcW w:type="dxa" w:w="3408"/>
          </w:tcPr>
          <w:p>
            <w:r>
              <w:t>16 + 2 + 2 = 20</w:t>
            </w:r>
          </w:p>
        </w:tc>
        <w:tc>
          <w:tcPr>
            <w:tcW w:type="dxa" w:w="3408"/>
          </w:tcPr>
          <w:p>
            <w:r>
              <w:t>All planned eligible cases</w:t>
            </w:r>
          </w:p>
        </w:tc>
      </w:tr>
      <w:tr>
        <w:tc>
          <w:tcPr>
            <w:tcW w:type="dxa" w:w="3408"/>
          </w:tcPr>
          <w:p>
            <w:r>
              <w:t>Completed</w:t>
            </w:r>
          </w:p>
        </w:tc>
        <w:tc>
          <w:tcPr>
            <w:tcW w:type="dxa" w:w="3408"/>
          </w:tcPr>
          <w:p>
            <w:r>
              <w:t>16 + 2 = 18</w:t>
            </w:r>
          </w:p>
        </w:tc>
        <w:tc>
          <w:tcPr>
            <w:tcW w:type="dxa" w:w="3408"/>
          </w:tcPr>
          <w:p>
            <w:r>
              <w:t>Assessed pass/fail outcomes</w:t>
            </w:r>
          </w:p>
        </w:tc>
      </w:tr>
      <w:tr>
        <w:tc>
          <w:tcPr>
            <w:tcW w:type="dxa" w:w="3408"/>
          </w:tcPr>
          <w:p>
            <w:r>
              <w:t>Completed-case pass rate</w:t>
            </w:r>
          </w:p>
        </w:tc>
        <w:tc>
          <w:tcPr>
            <w:tcW w:type="dxa" w:w="3408"/>
          </w:tcPr>
          <w:p>
            <w:r>
              <w:t>16/18 = 8/9 ≈ 88.889%</w:t>
            </w:r>
          </w:p>
        </w:tc>
        <w:tc>
          <w:tcPr>
            <w:tcW w:type="dxa" w:w="3408"/>
          </w:tcPr>
          <w:p>
            <w:r>
              <w:t>Rate among completed cases</w:t>
            </w:r>
          </w:p>
        </w:tc>
      </w:tr>
      <w:tr>
        <w:tc>
          <w:tcPr>
            <w:tcW w:type="dxa" w:w="3408"/>
          </w:tcPr>
          <w:p>
            <w:r>
              <w:t>Coverage</w:t>
            </w:r>
          </w:p>
        </w:tc>
        <w:tc>
          <w:tcPr>
            <w:tcW w:type="dxa" w:w="3408"/>
          </w:tcPr>
          <w:p>
            <w:r>
              <w:t>18/20 = 90%</w:t>
            </w:r>
          </w:p>
        </w:tc>
        <w:tc>
          <w:tcPr>
            <w:tcW w:type="dxa" w:w="3408"/>
          </w:tcPr>
          <w:p>
            <w:r>
              <w:t>Two of twenty remain unassessed</w:t>
            </w:r>
          </w:p>
        </w:tc>
      </w:tr>
      <w:tr>
        <w:tc>
          <w:tcPr>
            <w:tcW w:type="dxa" w:w="3408"/>
          </w:tcPr>
          <w:p>
            <w:r>
              <w:t>Unassessed</w:t>
            </w:r>
          </w:p>
        </w:tc>
        <w:tc>
          <w:tcPr>
            <w:tcW w:type="dxa" w:w="3408"/>
          </w:tcPr>
          <w:p>
            <w:r>
              <w:t>2</w:t>
            </w:r>
          </w:p>
        </w:tc>
        <w:tc>
          <w:tcPr>
            <w:tcW w:type="dxa" w:w="3408"/>
          </w:tcPr>
          <w:p>
            <w:r>
              <w:t>Retain as unknown outcomes</w:t>
            </w:r>
          </w:p>
        </w:tc>
      </w:tr>
      <w:tr>
        <w:tc>
          <w:tcPr>
            <w:tcW w:type="dxa" w:w="3408"/>
          </w:tcPr>
          <w:p>
            <w:r>
              <w:t>Different possible metric</w:t>
            </w:r>
          </w:p>
        </w:tc>
        <w:tc>
          <w:tcPr>
            <w:tcW w:type="dxa" w:w="3408"/>
          </w:tcPr>
          <w:p>
            <w:r>
              <w:t>16/20 = 80% known passes among all eligible</w:t>
            </w:r>
          </w:p>
        </w:tc>
        <w:tc>
          <w:tcPr>
            <w:tcW w:type="dxa" w:w="3408"/>
          </w:tcPr>
          <w:p>
            <w:r>
              <w:t>Not the planned completed-case rate</w:t>
            </w:r>
          </w:p>
        </w:tc>
      </w:tr>
      <w:tr>
        <w:tc>
          <w:tcPr>
            <w:tcW w:type="dxa" w:w="3408"/>
          </w:tcPr>
          <w:p>
            <w:r>
              <w:t>Inference limit</w:t>
            </w:r>
          </w:p>
        </w:tc>
        <w:tc>
          <w:tcPr>
            <w:tcW w:type="dxa" w:w="3408"/>
          </w:tcPr>
          <w:p>
            <w:r>
              <w:t>Missingness may matter</w:t>
            </w:r>
          </w:p>
        </w:tc>
        <w:tc>
          <w:tcPr>
            <w:tcW w:type="dxa" w:w="3408"/>
          </w:tcPr>
          <w:p>
            <w:r>
              <w:t>Do not assume unassessed outcomes resemble completed cases</w:t>
            </w:r>
          </w:p>
        </w:tc>
      </w:tr>
    </w:tbl>
    <w:p>
      <w:pPr>
        <w:pStyle w:val="ListBullet"/>
      </w:pPr>
      <w:r>
        <w:t>A primary experiment follows the fixed plan, preserves raw outcomes and reports deviations separately. Main twenty eligible cases include sixteen passes, two failures and two unassessed after outage. Completed count is eighteen. Planned completed-case pass rate is 16/18 ≈ 88.889%; coverage is 18/20 = 90%, with two unassessed outcomes explicit. The different 16/20 rate is not the same metric. Do not assume missing outcomes match completed ones or silently retry away failures. Separate frozen six-case picture has A flags 1, 0, 1, 1, 0, 1 and B flags 1, 1, 1, 0, 1, 1: totals four and five. B wins C2/C5, A wins C4, with three ties. Net gain one hides three changed cases. Tuning B using C4 creates a later revision; same-set rescoring is development evidence and the revised score is unknown. Supplied records establish no real model execution, significance or population advantage.</w:t>
      </w:r>
    </w:p>
    <w:p>
      <w:pPr>
        <w:pStyle w:val="ListBullet"/>
      </w:pPr>
      <w:r>
        <w:t>Twenty eligible cases: 16 pass, 2 fail, 2 unassessed after outage. Plan reports completed rate plus coverage.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A primary experiment follows the fixed plan, preserves raw outcomes and reports deviations separately. Main twenty eligible cases include sixteen passes, two failures and two unassessed after outage. Completed count is eighteen. Planned completed-case pass rate is 16/18 ≈ 88.889%; coverage is 18/20 = 90%, with two unassessed outcomes explicit. The different 16/20 rate is not the same metric. Do not assume missing outcomes match completed ones or silently retry away failures. Separate frozen six-case picture has A flags 1, 0, 1, 1, 0, 1 and B flags 1, 1, 1, 0, 1, 1: totals four and five. B wins C2/C5, A wins C4, with three ties. Net gain one hides three changed cases. Tuning B using C4 creates a later revision; same-set rescoring is development evidence and the revised score is unknown. Supplied records establish no real model execution, significance or population advantage.</w:t>
      </w:r>
    </w:p>
    <w:p>
      <w:pPr>
        <w:pStyle w:val="ListBullet"/>
      </w:pPr>
      <w:r>
        <w:t>A report omits this qualification: Following the plan and reporting deviations are required even when results contradict the hypothesis.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A primary experiment follows the fixed plan, preserves raw outcomes and reports deviations separately. Main twenty eligible cases include sixteen passes, two failures and two unassessed after outage. Completed count is eighteen. Planned completed-case pass rate is 16/18 ≈ 88.889%; coverage is 18/20 = 90%, with two unassessed outcomes explicit. The different 16/20 rate is not the same metric. Do not assume missing outcomes match completed ones or silently retry away failures. Separate frozen six-case picture has A flags 1, 0, 1, 1, 0, 1 and B flags 1, 1, 1, 0, 1, 1: totals four and five. B wins C2/C5, A wins C4, with three ties. Net gain one hides three changed cases. Tuning B using C4 creates a later revision; same-set rescoring is development evidence and the revised score is unknown. Supplied records establish no real model execution, significance or population advantage.</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Twelve eligible cases include 9 passes, 1 failure and 2 unassessed cases. Report completed-case pass rate (passes / completed cases), assessment coverage (completed / eligible cases) and the unassessed count.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running the primary experiment evidence sheet to Reproducible AI Research Study. Show how you can explain the mechanism and terminology of running the primary experiment.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Running the primary experiment.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Running the primary experiment.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Twelve eligible cases include 9 passes, 1 failure and 2 unassessed cases. Report completed-case pass rate (passes / completed cases), assessment coverage (completed / eligible cases) and the unassessed count.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3029913"/>
            <wp:docPr id="1" name="Picture 1" descr="Frozen paired correctness flags for six cases. A has four correct; B five. B alone is correct on C2 and C5, while A alone is correct on C4. Net gain is one correct, but three case outcomes differ. Tuning after seeing C4 changes the role of later same-set results."/>
            <wp:cNvGraphicFramePr>
              <a:graphicFrameLocks noChangeAspect="1"/>
            </wp:cNvGraphicFramePr>
            <a:graphic>
              <a:graphicData uri="http://schemas.openxmlformats.org/drawingml/2006/picture">
                <pic:pic>
                  <pic:nvPicPr>
                    <pic:cNvPr id="0" name="ai-7-25-paired-grid.png"/>
                    <pic:cNvPicPr/>
                  </pic:nvPicPr>
                  <pic:blipFill>
                    <a:blip r:embed="rId9"/>
                    <a:stretch>
                      <a:fillRect/>
                    </a:stretch>
                  </pic:blipFill>
                  <pic:spPr>
                    <a:xfrm>
                      <a:off x="0" y="0"/>
                      <a:ext cx="5486400" cy="3029913"/>
                    </a:xfrm>
                    <a:prstGeom prst="rect"/>
                  </pic:spPr>
                </pic:pic>
              </a:graphicData>
            </a:graphic>
          </wp:inline>
        </w:drawing>
      </w:r>
    </w:p>
    <w:p>
      <w:pPr>
        <w:pStyle w:val="ListBullet"/>
      </w:pPr>
      <w:r>
        <w:t>Run the frozen experiment. A research team freezes versions A and B, labels and scoring before a six-case primary run.</w:t>
      </w:r>
    </w:p>
    <w:p>
      <w:pPr>
        <w:pStyle w:val="ListBullet"/>
      </w:pPr>
      <w:r>
        <w:t>A scores [1,0,1,1,0,1]; B scores [1,1,1,0,1,1]. Both answer the same six cases. Binary entries mean 1=correct and 0=incorrect.</w:t>
      </w:r>
    </w:p>
    <w:p>
      <w:r>
        <w:drawing>
          <wp:inline xmlns:a="http://schemas.openxmlformats.org/drawingml/2006/main" xmlns:pic="http://schemas.openxmlformats.org/drawingml/2006/picture">
            <wp:extent cx="5486400" cy="3077029"/>
            <wp:docPr id="2" name="Picture 2" descr="Paired primary case outcomes"/>
            <wp:cNvGraphicFramePr>
              <a:graphicFrameLocks noChangeAspect="1"/>
            </wp:cNvGraphicFramePr>
            <a:graphic>
              <a:graphicData uri="http://schemas.openxmlformats.org/drawingml/2006/picture">
                <pic:pic>
                  <pic:nvPicPr>
                    <pic:cNvPr id="0" name="academy-detail-ai-7-25.png"/>
                    <pic:cNvPicPr/>
                  </pic:nvPicPr>
                  <pic:blipFill>
                    <a:blip r:embed="rId1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Running the primary experiment. Keep versions fixed: No case result may trigger tuning during this run.. Compute results: A totals 4/6; B totals 5/6.. Keep case-level records: Cases two and five favour B; case four favours A."/>
            <wp:cNvGraphicFramePr>
              <a:graphicFrameLocks noChangeAspect="1"/>
            </wp:cNvGraphicFramePr>
            <a:graphic>
              <a:graphicData uri="http://schemas.openxmlformats.org/drawingml/2006/picture">
                <pic:pic>
                  <pic:nvPicPr>
                    <pic:cNvPr id="0" name="academy-visual-ai-7-25.png"/>
                    <pic:cNvPicPr/>
                  </pic:nvPicPr>
                  <pic:blipFill>
                    <a:blip r:embed="rId11"/>
                    <a:stretch>
                      <a:fillRect/>
                    </a:stretch>
                  </pic:blipFill>
                  <pic:spPr>
                    <a:xfrm>
                      <a:off x="0" y="0"/>
                      <a:ext cx="5486400" cy="5145314"/>
                    </a:xfrm>
                    <a:prstGeom prst="rect"/>
                  </pic:spPr>
                </pic:pic>
              </a:graphicData>
            </a:graphic>
          </wp:inline>
        </w:drawing>
      </w:r>
    </w:p>
    <w:p>
      <w:pPr>
        <w:pStyle w:val="ListBullet"/>
      </w:pPr>
      <w:r>
        <w:t>Compute A’s and B’s six-case counts and identify the cases that favour each. How must a B revision tuned on case four be labelled when evaluated again on the same set?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Prepare the demonstration. Gather reproducible instructions, evidence, access checks and remaining limitations.</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Run the frozen experiment. A research team freezes versions A and B, labels and scoring before a six-case primary run.</w:t>
      </w:r>
    </w:p>
    <w:p>
      <w:pPr>
        <w:pStyle w:val="Heading3"/>
      </w:pPr>
      <w:r>
        <w:t>Practice 1: explain the deciding evidence</w:t>
      </w:r>
    </w:p>
    <w:p>
      <w:pPr>
        <w:pStyle w:val="ListBullet"/>
      </w:pPr>
      <w:r>
        <w:t>Which labelled step matches this detail? Cases two and five favour B; case four favours A.</w:t>
      </w:r>
    </w:p>
    <w:p>
      <w:pPr>
        <w:pStyle w:val="ListBullet"/>
      </w:pPr>
      <w:r>
        <w:t>1. Compute results</w:t>
      </w:r>
    </w:p>
    <w:p>
      <w:pPr>
        <w:pStyle w:val="ListBullet"/>
      </w:pPr>
      <w:r>
        <w:t>2. Keep versions fixed</w:t>
      </w:r>
    </w:p>
    <w:p>
      <w:pPr>
        <w:pStyle w:val="ListBullet"/>
      </w:pPr>
      <w:r>
        <w:t>3. Keep case-level records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Keep case-level records Cases two and five favour B; case four favours A.</w:t>
      </w:r>
    </w:p>
    <w:p>
      <w:pPr>
        <w:spacing w:line="336" w:lineRule="auto" w:after="180"/>
      </w:pPr>
      <w:r>
        <w:rPr>
          <w:b w:val="0"/>
        </w:rPr>
        <w:t>Running the primary experiment means following the declared protocol and retaining raw outcomes. Overall scores alone hide different failure patterns.</w:t>
      </w:r>
    </w:p>
    <w:p>
      <w:pPr>
        <w:pStyle w:val="Heading2"/>
      </w:pPr>
      <w:r>
        <w:t>Changed-case question and optional hint</w:t>
      </w:r>
    </w:p>
    <w:p>
      <w:pPr>
        <w:pStyle w:val="Heading3"/>
      </w:pPr>
      <w:r>
        <w:t>Practice 2: explain the deciding evidence</w:t>
      </w:r>
    </w:p>
    <w:p>
      <w:pPr>
        <w:pStyle w:val="ListBullet"/>
      </w:pPr>
      <w:r>
        <w:t>Changed-case practice: Tune B after inspecting its case-four failure, then rescore the same set. Which conclusion is supported by the supplied facts?</w:t>
      </w:r>
    </w:p>
    <w:p>
      <w:pPr>
        <w:pStyle w:val="ListBullet"/>
      </w:pPr>
      <w:r>
        <w:t>1. Label the rerun as development on exposed cases, not untouched primary evaluation.</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Label the rerun as development on exposed cases, not untouched primary evaluation. The evaluation outcomes have now influenced the version.</w:t>
      </w:r>
    </w:p>
    <w:p>
      <w:pPr>
        <w:pStyle w:val="Heading2"/>
      </w:pPr>
      <w:r>
        <w:t>Repair and retain the record</w:t>
      </w:r>
    </w:p>
    <w:p>
      <w:pPr>
        <w:spacing w:line="336" w:lineRule="auto" w:after="180"/>
      </w:pPr>
      <w:r>
        <w:rPr>
          <w:b w:val="0"/>
        </w:rPr>
        <w:t xml:space="preserve">Review Reproducible environment and records (ai-7/24). Goal: Explain the </w:t>
      </w:r>
      <w:r>
        <w:rPr>
          <w:b/>
        </w:rPr>
        <w:t>mechanism</w:t>
      </w:r>
      <w:r>
        <w:rPr>
          <w:b w:val="0"/>
        </w:rPr>
        <w:t xml:space="preserve"> and terminology of reproducible environment and records. Short practice: Trace the recorded mean for 2,4,6 and its changed result for 2,4,9.</w:t>
      </w:r>
    </w:p>
    <w:p>
      <w:pPr>
        <w:spacing w:line="336" w:lineRule="auto" w:after="180"/>
      </w:pPr>
      <w:r>
        <w:rPr>
          <w:b w:val="0"/>
        </w:rPr>
        <w:t xml:space="preserve">Which artefacts must accompany the </w:t>
      </w:r>
      <w:r>
        <w:rPr>
          <w:b/>
        </w:rPr>
        <w:t>output</w:t>
      </w:r>
      <w:r>
        <w:rPr>
          <w:b w:val="0"/>
        </w:rPr>
        <w:t xml:space="preserve"> so another team can identify the exact run?. Return to this week and explain what you changed.</w:t>
      </w:r>
    </w:p>
    <w:p>
      <w:pPr>
        <w:spacing w:line="336" w:lineRule="auto" w:after="180"/>
      </w:pPr>
      <w:r>
        <w:rPr>
          <w:b w:val="0"/>
        </w:rPr>
        <w:t xml:space="preserve">Review Pilot experiments (ai-7/22). Goal: Explain the </w:t>
      </w:r>
      <w:r>
        <w:rPr>
          <w:b/>
        </w:rPr>
        <w:t>mechanism</w:t>
      </w:r>
      <w:r>
        <w:rPr>
          <w:b w:val="0"/>
        </w:rPr>
        <w:t xml:space="preserve"> and terminology of pilot experiments. Short practice: Calculate reviewer agreement on the four pilot answers.</w:t>
      </w:r>
    </w:p>
    <w:p>
      <w:pPr>
        <w:spacing w:line="336" w:lineRule="auto" w:after="180"/>
      </w:pPr>
      <w:r>
        <w:rPr>
          <w:b w:val="0"/>
        </w:rPr>
        <w:t xml:space="preserve">What can the disagreement improve, and why are those revised practice answers not untouched final </w:t>
      </w:r>
      <w:r>
        <w:rPr>
          <w:b/>
        </w:rPr>
        <w:t>evidence</w:t>
      </w:r>
      <w:r>
        <w:rPr>
          <w:b w:val="0"/>
        </w:rPr>
        <w:t>?. Return to this week and explain what you changed.</w:t>
      </w:r>
    </w:p>
    <w:p>
      <w:pPr>
        <w:spacing w:line="336" w:lineRule="auto" w:after="180"/>
      </w:pPr>
      <w:r>
        <w:rPr>
          <w:b w:val="0"/>
        </w:rPr>
        <w:t xml:space="preserve">Review Research ethics and consent (ai-7/19). Goal: Explain the </w:t>
      </w:r>
      <w:r>
        <w:rPr>
          <w:b/>
        </w:rPr>
        <w:t>mechanism</w:t>
      </w:r>
      <w:r>
        <w:rPr>
          <w:b w:val="0"/>
        </w:rPr>
        <w:t xml:space="preserve"> and terminology of research ethics and consent. Short practice: Identify which uses the drawing consent permits and excludes.</w:t>
      </w:r>
    </w:p>
    <w:p>
      <w:pPr>
        <w:spacing w:line="336" w:lineRule="auto" w:after="180"/>
      </w:pPr>
      <w:r>
        <w:rPr>
          <w:b w:val="0"/>
        </w:rPr>
        <w:t>Can the unrelated project reuse the drawings under this agreement, and what new authorisation would be needed?.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Running the primary experiment: the case</w:t>
      </w:r>
    </w:p>
    <w:p>
      <w:r>
        <w:drawing>
          <wp:inline xmlns:a="http://schemas.openxmlformats.org/drawingml/2006/main" xmlns:pic="http://schemas.openxmlformats.org/drawingml/2006/picture">
            <wp:extent cx="5486400" cy="2834640"/>
            <wp:docPr id="4" name="Picture 4" descr="Run the frozen experiment. A research team freezes versions A and B, labels and scoring before a six-case primary run. Supplied facts: A scores [1,0,1,1,0,1]; B scores [1,1,1,0,1,1]. Both answer the same six cases. Binary entries mean 1=correct and 0=incorrect."/>
            <wp:cNvGraphicFramePr>
              <a:graphicFrameLocks noChangeAspect="1"/>
            </wp:cNvGraphicFramePr>
            <a:graphic>
              <a:graphicData uri="http://schemas.openxmlformats.org/drawingml/2006/picture">
                <pic:pic>
                  <pic:nvPicPr>
                    <pic:cNvPr id="0" name="academy-story-ai-7-25-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Run the frozen experiment. A research team freezes versions A and B, labels and scoring before a six-case </w:t>
      </w:r>
      <w:r>
        <w:rPr>
          <w:b/>
        </w:rPr>
        <w:t>primary run</w:t>
      </w:r>
      <w:r>
        <w:rPr>
          <w:b w:val="0"/>
        </w:rPr>
        <w:t>. Supplied facts: A scores [1,0,1,1,0,1]; B scores [1,1,1,0,1,1]. Both answer the same six cases.</w:t>
      </w:r>
    </w:p>
    <w:p>
      <w:pPr>
        <w:spacing w:line="336" w:lineRule="auto" w:after="180"/>
      </w:pPr>
      <w:r>
        <w:rPr>
          <w:b w:val="0"/>
        </w:rPr>
        <w:t>Binary entries mean 1=correct and 0=incorrect.</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5" name="Picture 5" descr="Keep versions fixed: No case result may trigger tuning during this run. → Compute results: A totals 4/6; B totals 5/6. → Keep case-level records: Cases two and five favour B; case four favours A."/>
            <wp:cNvGraphicFramePr>
              <a:graphicFrameLocks noChangeAspect="1"/>
            </wp:cNvGraphicFramePr>
            <a:graphic>
              <a:graphicData uri="http://schemas.openxmlformats.org/drawingml/2006/picture">
                <pic:pic>
                  <pic:nvPicPr>
                    <pic:cNvPr id="0" name="academy-story-ai-7-25-02.png"/>
                    <pic:cNvPicPr/>
                  </pic:nvPicPr>
                  <pic:blipFill>
                    <a:blip r:embed="rId13"/>
                    <a:stretch>
                      <a:fillRect/>
                    </a:stretch>
                  </pic:blipFill>
                  <pic:spPr>
                    <a:xfrm>
                      <a:off x="0" y="0"/>
                      <a:ext cx="5486400" cy="3182112"/>
                    </a:xfrm>
                    <a:prstGeom prst="rect"/>
                  </pic:spPr>
                </pic:pic>
              </a:graphicData>
            </a:graphic>
          </wp:inline>
        </w:drawing>
      </w:r>
    </w:p>
    <w:p>
      <w:pPr>
        <w:spacing w:line="336" w:lineRule="auto" w:after="180"/>
      </w:pPr>
      <w:r>
        <w:rPr>
          <w:b w:val="0"/>
        </w:rPr>
        <w:t>Keep versions fixed: No case result may trigger tuning during this run. → Compute results: A totals 4/6; B totals 5/6. → Keep case-level records: Cases two and five favour B; case four favours A.</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Paired primary case outcomes</w:t>
      </w:r>
    </w:p>
    <w:p>
      <w:r>
        <w:drawing>
          <wp:inline xmlns:a="http://schemas.openxmlformats.org/drawingml/2006/main" xmlns:pic="http://schemas.openxmlformats.org/drawingml/2006/picture">
            <wp:extent cx="5486400" cy="3096768"/>
            <wp:docPr id="6" name="Picture 6" descr="Paired primary case outcomes. Version A: Case 1 = 1, Case 2 = 0, Case 3 = 1, Case 4 = 1, Case 5 = 0, Case 6 = 1. Version B: Case 1 = 1, Case 2 = 1, Case 3 = 1, Case 4 = 0, Case 5 = 1, Case 6 = 1."/>
            <wp:cNvGraphicFramePr>
              <a:graphicFrameLocks noChangeAspect="1"/>
            </wp:cNvGraphicFramePr>
            <a:graphic>
              <a:graphicData uri="http://schemas.openxmlformats.org/drawingml/2006/picture">
                <pic:pic>
                  <pic:nvPicPr>
                    <pic:cNvPr id="0" name="academy-story-ai-7-25-03.png"/>
                    <pic:cNvPicPr/>
                  </pic:nvPicPr>
                  <pic:blipFill>
                    <a:blip r:embed="rId14"/>
                    <a:stretch>
                      <a:fillRect/>
                    </a:stretch>
                  </pic:blipFill>
                  <pic:spPr>
                    <a:xfrm>
                      <a:off x="0" y="0"/>
                      <a:ext cx="5486400" cy="3096768"/>
                    </a:xfrm>
                    <a:prstGeom prst="rect"/>
                  </pic:spPr>
                </pic:pic>
              </a:graphicData>
            </a:graphic>
          </wp:inline>
        </w:drawing>
      </w:r>
    </w:p>
    <w:p>
      <w:pPr>
        <w:spacing w:line="336" w:lineRule="auto" w:after="180"/>
      </w:pPr>
      <w:r>
        <w:rPr>
          <w:b w:val="0"/>
        </w:rPr>
        <w:t>Paired primary case outcomes. Version A: Case 1 = 1, Case 2 = 0, Case 3 = 1, Case 4 = 1, Case 5 = 0, Case 6 = 1. Version B: Case 1 = 1, Case 2 = 1, Case 3 = 1, Case 4 = 0, Case 5 = 1, Case 6 = 1.</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Cases two and five favour B; case four favours A. Changed condition: Tune B after inspecting its case-four failure, then rescore the same set. Expected result: Label the rerun as development on exposed cases, not untouched primary evaluation. Reason: The evaluation outcomes have now influenced the version."/>
            <wp:cNvGraphicFramePr>
              <a:graphicFrameLocks noChangeAspect="1"/>
            </wp:cNvGraphicFramePr>
            <a:graphic>
              <a:graphicData uri="http://schemas.openxmlformats.org/drawingml/2006/picture">
                <pic:pic>
                  <pic:nvPicPr>
                    <pic:cNvPr id="0" name="academy-story-ai-7-25-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Cases two and five favour B; case four favours A. Changed condition: Tune B after inspecting its case-four failure, then rescore the same set.</w:t>
      </w:r>
    </w:p>
    <w:p>
      <w:pPr>
        <w:spacing w:line="336" w:lineRule="auto" w:after="180"/>
      </w:pPr>
      <w:r>
        <w:rPr>
          <w:b w:val="0"/>
        </w:rPr>
        <w:t>Expected result: Label the rerun as development on exposed cases, not untouched primary evaluation. Reason: The evaluation outcomes have now influenced the version.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unning the primary experiment means following the declared protocol and retaining raw outcomes. Overall scores alone hide different failure patterns. Limit: Six illustrative cases do not establish a population advantage or statistical significance."/>
            <wp:cNvGraphicFramePr>
              <a:graphicFrameLocks noChangeAspect="1"/>
            </wp:cNvGraphicFramePr>
            <a:graphic>
              <a:graphicData uri="http://schemas.openxmlformats.org/drawingml/2006/picture">
                <pic:pic>
                  <pic:nvPicPr>
                    <pic:cNvPr id="0" name="academy-story-ai-7-25-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Running the primary experiment means following the declared protocol and retaining raw outcomes. Overall scores alone hide different failure patterns.</w:t>
      </w:r>
    </w:p>
    <w:p>
      <w:pPr>
        <w:spacing w:line="336" w:lineRule="auto" w:after="180"/>
      </w:pPr>
      <w:r>
        <w:rPr>
          <w:b w:val="0"/>
        </w:rPr>
        <w:t>Limit: Six illustrative cases do not establish a population advantage or statistical significance.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ompute A’s and B’s six-case counts and identify the cases that favour each. How must a B revision tuned on case four be labelled when evaluated again on the same set?"/>
            <wp:cNvGraphicFramePr>
              <a:graphicFrameLocks noChangeAspect="1"/>
            </wp:cNvGraphicFramePr>
            <a:graphic>
              <a:graphicData uri="http://schemas.openxmlformats.org/drawingml/2006/picture">
                <pic:pic>
                  <pic:nvPicPr>
                    <pic:cNvPr id="0" name="academy-story-ai-7-25-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Compute A’s and B’s six-case counts and identify the cases that favour each.</w:t>
      </w:r>
    </w:p>
    <w:p>
      <w:pPr>
        <w:spacing w:line="336" w:lineRule="auto" w:after="180"/>
      </w:pPr>
      <w:r>
        <w:rPr>
          <w:b w:val="0"/>
        </w:rPr>
        <w:t>How must a B revision tuned on case four be labelled when evaluated again on the same set?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Running the primary experiment: the case</w:t>
      </w:r>
    </w:p>
    <w:p>
      <w:pPr>
        <w:pStyle w:val="Heading3"/>
      </w:pPr>
      <w:r>
        <w:t>02. Follow the deciding steps</w:t>
      </w:r>
    </w:p>
    <w:p>
      <w:pPr>
        <w:pStyle w:val="Heading3"/>
      </w:pPr>
      <w:r>
        <w:t>03. Paired primary case outcomes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