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ai-7/27</w:t>
      </w:r>
    </w:p>
    <w:p>
      <w:pPr>
        <w:pStyle w:val="Title"/>
      </w:pPr>
      <w:r>
        <w:t>Robustness across conditions</w:t>
      </w:r>
    </w:p>
    <w:p>
      <w:r>
        <w:t>Project: Reproducible AI Research Study</w:t>
      </w:r>
    </w:p>
    <w:p>
      <w:pPr>
        <w:pStyle w:val="Heading1"/>
      </w:pPr>
      <w:r>
        <w:t>One complete research-case evidence record.</w:t>
      </w:r>
    </w:p>
    <w:p>
      <w:r>
        <w:t>Compare frozen procedures across declared conditions without replacing slices with one pooled score.</w:t>
      </w:r>
    </w:p>
    <w:p>
      <w:r>
        <w:t>Recall → W1–W3/W5 → independent case → project evidence → feedback and delayed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Inspecting failures and anomalies</w:t>
      </w:r>
    </w:p>
    <w:p>
      <w:pPr>
        <w:pStyle w:val="ListBullet"/>
      </w:pPr>
      <w:r>
        <w:t>Without opening the old lesson, explain one key idea from Inspecting failures and anomalies.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Reproducible environment and records</w:t>
      </w:r>
    </w:p>
    <w:p>
      <w:pPr>
        <w:pStyle w:val="ListBullet"/>
      </w:pPr>
      <w:r>
        <w:t>Without opening the old lesson, explain one key idea from Reproducible environment and records.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Predefining an analysis plan</w:t>
      </w:r>
    </w:p>
    <w:p>
      <w:pPr>
        <w:pStyle w:val="ListBullet"/>
      </w:pPr>
      <w:r>
        <w:t>Without opening the old lesson, explain one key idea from Predefining an analysis plan.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W1 · Explain the current example</w:t>
      </w:r>
    </w:p>
    <w:p>
      <w:r>
        <w:t>Keep this task’s inputs,rule and response together.</w:t>
      </w:r>
    </w:p>
    <w:p>
      <w:pPr>
        <w:pStyle w:val="Heading2"/>
      </w:pPr>
      <w:r>
        <w:t>Complete task and evidence</w:t>
      </w:r>
    </w:p>
    <w:p>
      <w:pPr>
        <w:pStyle w:val="ListBullet"/>
      </w:pPr>
      <w:r>
        <w:t>Robustness checks compare a frozen procedure under declared varied conditions. Keep baseline, scoring and eligibility aligned and report slices separately. Main current-source pass rate is 9/10 = 90%, outdated-source 5/10 = 50%, a forty-percentage-point descriptive gap. This association does not identify a cause. Separate frozen-classifier picture has indoor 7/8 = 87.5% and outdoor 3/8 = 37.5%, gap fifty points. Pooling yields 10/16 = 62.5%; reporting only that value hides outdoor weakness. The observed case mix need not match future use. Eight cases per slice do not establish stable population rates, significance or universal robustness. Aggregate counts cannot reconstruct individual paired transitions. New conditions extend the evidence only to their tested scope. The code calculates supplied summaries, without running a model, collecting cases or verifying actual controls.</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worked case</w:t>
      </w:r>
    </w:p>
    <w:p>
      <w:r>
        <w:t>Keep the supplied inputs, comparison rule and evidence together.</w:t>
      </w:r>
    </w:p>
    <w:p>
      <w:pPr>
        <w:pStyle w:val="Heading2"/>
      </w:pPr>
      <w:r>
        <w:t>Complete task and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Main quantity</w:t>
            </w:r>
          </w:p>
        </w:tc>
        <w:tc>
          <w:tcPr>
            <w:tcW w:type="dxa" w:w="3408"/>
          </w:tcPr>
          <w:p>
            <w:r>
              <w:t>Current sources</w:t>
            </w:r>
          </w:p>
        </w:tc>
        <w:tc>
          <w:tcPr>
            <w:tcW w:type="dxa" w:w="3408"/>
          </w:tcPr>
          <w:p>
            <w:r>
              <w:t>Outdated sources</w:t>
            </w:r>
          </w:p>
        </w:tc>
      </w:tr>
      <w:tr>
        <w:tc>
          <w:tcPr>
            <w:tcW w:type="dxa" w:w="3408"/>
          </w:tcPr>
          <w:p>
            <w:r>
              <w:t>Passes / evaluated</w:t>
            </w:r>
          </w:p>
        </w:tc>
        <w:tc>
          <w:tcPr>
            <w:tcW w:type="dxa" w:w="3408"/>
          </w:tcPr>
          <w:p>
            <w:r>
              <w:t>9/10</w:t>
            </w:r>
          </w:p>
        </w:tc>
        <w:tc>
          <w:tcPr>
            <w:tcW w:type="dxa" w:w="3408"/>
          </w:tcPr>
          <w:p>
            <w:r>
              <w:t>5/10</w:t>
            </w:r>
          </w:p>
        </w:tc>
      </w:tr>
      <w:tr>
        <w:tc>
          <w:tcPr>
            <w:tcW w:type="dxa" w:w="3408"/>
          </w:tcPr>
          <w:p>
            <w:r>
              <w:t>Observed rate</w:t>
            </w:r>
          </w:p>
        </w:tc>
        <w:tc>
          <w:tcPr>
            <w:tcW w:type="dxa" w:w="3408"/>
          </w:tcPr>
          <w:p>
            <w:r>
              <w:t>90%</w:t>
            </w:r>
          </w:p>
        </w:tc>
        <w:tc>
          <w:tcPr>
            <w:tcW w:type="dxa" w:w="3408"/>
          </w:tcPr>
          <w:p>
            <w:r>
              <w:t>50%</w:t>
            </w:r>
          </w:p>
        </w:tc>
      </w:tr>
      <w:tr>
        <w:tc>
          <w:tcPr>
            <w:tcW w:type="dxa" w:w="3408"/>
          </w:tcPr>
          <w:p>
            <w:r>
              <w:t>Current minus outdated</w:t>
            </w:r>
          </w:p>
        </w:tc>
        <w:tc>
          <w:tcPr>
            <w:tcW w:type="dxa" w:w="3408"/>
          </w:tcPr>
          <w:p>
            <w:r>
              <w:t>40 percentage points</w:t>
            </w:r>
          </w:p>
        </w:tc>
        <w:tc>
          <w:tcPr>
            <w:tcW w:type="dxa" w:w="3408"/>
          </w:tcPr>
          <w:p>
            <w:r>
              <w:t>Lower quality associated with this condition here</w:t>
            </w:r>
          </w:p>
        </w:tc>
      </w:tr>
      <w:tr>
        <w:tc>
          <w:tcPr>
            <w:tcW w:type="dxa" w:w="3408"/>
          </w:tcPr>
          <w:p>
            <w:r>
              <w:t>Mechanism</w:t>
            </w:r>
          </w:p>
        </w:tc>
        <w:tc>
          <w:tcPr>
            <w:tcW w:type="dxa" w:w="3408"/>
          </w:tcPr>
          <w:p>
            <w:r>
              <w:t>Not identified</w:t>
            </w:r>
          </w:p>
        </w:tc>
        <w:tc>
          <w:tcPr>
            <w:tcW w:type="dxa" w:w="3408"/>
          </w:tcPr>
          <w:p>
            <w:r>
              <w:t>Inspect source validity and procedure traces</w:t>
            </w:r>
          </w:p>
        </w:tc>
      </w:tr>
      <w:tr>
        <w:tc>
          <w:tcPr>
            <w:tcW w:type="dxa" w:w="3408"/>
          </w:tcPr>
          <w:p>
            <w:r>
              <w:t>Generalization</w:t>
            </w:r>
          </w:p>
        </w:tc>
        <w:tc>
          <w:tcPr>
            <w:tcW w:type="dxa" w:w="3408"/>
          </w:tcPr>
          <w:p>
            <w:r>
              <w:t>Only supplied cases</w:t>
            </w:r>
          </w:p>
        </w:tc>
        <w:tc>
          <w:tcPr>
            <w:tcW w:type="dxa" w:w="3408"/>
          </w:tcPr>
          <w:p>
            <w:r>
              <w:t>No universal causal or robustness conclusion</w:t>
            </w:r>
          </w:p>
        </w:tc>
      </w:tr>
    </w:tbl>
    <w:p>
      <w:pPr>
        <w:pStyle w:val="ListBullet"/>
      </w:pPr>
      <w:r>
        <w:t>Robustness checks compare a frozen procedure under declared varied conditions. Keep baseline, scoring and eligibility aligned and report slices separately. Main current-source pass rate is 9/10 = 90%, outdated-source 5/10 = 50%, a forty-percentage-point descriptive gap. This association does not identify a cause. Separate frozen-classifier picture has indoor 7/8 = 87.5% and outdoor 3/8 = 37.5%, gap fifty points. Pooling yields 10/16 = 62.5%; reporting only that value hides outdoor weakness. The observed case mix need not match future use. Eight cases per slice do not establish stable population rates, significance or universal robustness. Aggregate counts cannot reconstruct individual paired transitions. New conditions extend the evidence only to their tested scope. The code calculates supplied summaries, without running a model, collecting cases or verifying actual controls.</w:t>
      </w:r>
    </w:p>
    <w:p>
      <w:pPr>
        <w:pStyle w:val="ListBullet"/>
      </w:pPr>
      <w:r>
        <w:t>Method passes 9/10 on current sources and 5/10 on outdated sources.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Robustness checks compare a frozen procedure under declared varied conditions. Keep baseline, scoring and eligibility aligned and report slices separately. Main current-source pass rate is 9/10 = 90%, outdated-source 5/10 = 50%, a forty-percentage-point descriptive gap. This association does not identify a cause. Separate frozen-classifier picture has indoor 7/8 = 87.5% and outdoor 3/8 = 37.5%, gap fifty points. Pooling yields 10/16 = 62.5%; reporting only that value hides outdoor weakness. The observed case mix need not match future use. Eight cases per slice do not establish stable population rates, significance or universal robustness. Aggregate counts cannot reconstruct individual paired transitions. New conditions extend the evidence only to their tested scope. The code calculates supplied summaries, without running a model, collecting cases or verifying actual controls.</w:t>
      </w:r>
    </w:p>
    <w:p>
      <w:pPr>
        <w:pStyle w:val="ListBullet"/>
      </w:pPr>
      <w:r>
        <w:t>A report omits this qualification: Robustness is bounded by the tested variations and independent evidence policy.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Robustness checks compare a frozen procedure under declared varied conditions. Keep baseline, scoring and eligibility aligned and report slices separately. Main current-source pass rate is 9/10 = 90%, outdated-source 5/10 = 50%, a forty-percentage-point descriptive gap. This association does not identify a cause. Separate frozen-classifier picture has indoor 7/8 = 87.5% and outdoor 3/8 = 37.5%, gap fifty points. Pooling yields 10/16 = 62.5%; reporting only that value hides outdoor weakness. The observed case mix need not match future use. Eight cases per slice do not establish stable population rates, significance or universal robustness. Aggregate counts cannot reconstruct individual paired transitions. New conditions extend the evidence only to their tested scope. The code calculates supplied summaries, without running a model, collecting cases or verifying actual controls.</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Apply a new case independently</w:t>
      </w:r>
    </w:p>
    <w:p>
      <w:pPr>
        <w:pStyle w:val="ListBullet"/>
      </w:pPr>
      <w:r>
        <w:t>Baseline/candidate on condition A:6/8, 7/8; condition B:5/8, 4/8. Compare paired rates.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research evidence</w:t>
      </w:r>
    </w:p>
    <w:p>
      <w:r>
        <w:t>Preserve the question, protocol, observations, analysis and limits.</w:t>
      </w:r>
    </w:p>
    <w:p>
      <w:pPr>
        <w:pStyle w:val="Heading2"/>
      </w:pPr>
      <w:r>
        <w:t>Complete task and evidence</w:t>
      </w:r>
    </w:p>
    <w:p>
      <w:pPr>
        <w:pStyle w:val="ListBullet"/>
      </w:pPr>
      <w:r>
        <w:t>Add a labelled robustness across conditions evidence sheet to Reproducible AI Research Study. Show how you can explain the mechanism and terminology of robustness across conditions.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Trace the worked case for Robustness across conditions.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Robustness across conditions. Proposed explanation: “The worked result establishes every future case”.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Baseline/candidate on condition A:6/8, 7/8; condition B:5/8, 4/8. Compare paired rates.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r>
        <w:drawing>
          <wp:inline xmlns:a="http://schemas.openxmlformats.org/drawingml/2006/main" xmlns:pic="http://schemas.openxmlformats.org/drawingml/2006/picture">
            <wp:extent cx="5334000" cy="3200400"/>
            <wp:docPr id="1" name="Picture 1" descr="Frozen classifier is correct on seven of eight indoor cases, eighty-seven point five percent, and three of eight outdoor cases, thirty-seven point five percent. Pooled ten of sixteen is sixty-two point five percent and hides a fifty-percentage-point slice gap."/>
            <wp:cNvGraphicFramePr>
              <a:graphicFrameLocks noChangeAspect="1"/>
            </wp:cNvGraphicFramePr>
            <a:graphic>
              <a:graphicData uri="http://schemas.openxmlformats.org/drawingml/2006/picture">
                <pic:pic>
                  <pic:nvPicPr>
                    <pic:cNvPr id="0" name="ai-7-27-slice-rates.png"/>
                    <pic:cNvPicPr/>
                  </pic:nvPicPr>
                  <pic:blipFill>
                    <a:blip r:embed="rId9"/>
                    <a:stretch>
                      <a:fillRect/>
                    </a:stretch>
                  </pic:blipFill>
                  <pic:spPr>
                    <a:xfrm>
                      <a:off x="0" y="0"/>
                      <a:ext cx="5334000" cy="3200400"/>
                    </a:xfrm>
                    <a:prstGeom prst="rect"/>
                  </pic:spPr>
                </pic:pic>
              </a:graphicData>
            </a:graphic>
          </wp:inline>
        </w:drawing>
      </w:r>
    </w:p>
    <w:p>
      <w:pPr>
        <w:pStyle w:val="ListBullet"/>
      </w:pPr>
      <w:r>
        <w:t>Check robustness across conditions. A fixed classifier is tested separately on indoor and shaded outdoor cases.</w:t>
      </w:r>
    </w:p>
    <w:p>
      <w:pPr>
        <w:pStyle w:val="ListBullet"/>
      </w:pPr>
      <w:r>
        <w:t>Indoor 7/8 correct; outdoor 3/8 correct. The rubric and frozen model are unchanged.</w:t>
      </w:r>
    </w:p>
    <w:p>
      <w:r>
        <w:drawing>
          <wp:inline xmlns:a="http://schemas.openxmlformats.org/drawingml/2006/main" xmlns:pic="http://schemas.openxmlformats.org/drawingml/2006/picture">
            <wp:extent cx="5486400" cy="2641600"/>
            <wp:docPr id="2" name="Picture 2" descr="Fixed model across conditions"/>
            <wp:cNvGraphicFramePr>
              <a:graphicFrameLocks noChangeAspect="1"/>
            </wp:cNvGraphicFramePr>
            <a:graphic>
              <a:graphicData uri="http://schemas.openxmlformats.org/drawingml/2006/picture">
                <pic:pic>
                  <pic:nvPicPr>
                    <pic:cNvPr id="0" name="academy-detail-ai-7-27.png"/>
                    <pic:cNvPicPr/>
                  </pic:nvPicPr>
                  <pic:blipFill>
                    <a:blip r:embed="rId10"/>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185229"/>
            <wp:docPr id="3" name="Picture 3" descr="Robustness across conditions. Name both slices: Each condition has eight labelled cases.. Compute rates: Indoor is 87.5%; outdoor is 37.5%.. Bound robustness: The large observed gap motivates investigation rather than claiming condition independence."/>
            <wp:cNvGraphicFramePr>
              <a:graphicFrameLocks noChangeAspect="1"/>
            </wp:cNvGraphicFramePr>
            <a:graphic>
              <a:graphicData uri="http://schemas.openxmlformats.org/drawingml/2006/picture">
                <pic:pic>
                  <pic:nvPicPr>
                    <pic:cNvPr id="0" name="academy-visual-ai-7-27.png"/>
                    <pic:cNvPicPr/>
                  </pic:nvPicPr>
                  <pic:blipFill>
                    <a:blip r:embed="rId11"/>
                    <a:stretch>
                      <a:fillRect/>
                    </a:stretch>
                  </pic:blipFill>
                  <pic:spPr>
                    <a:xfrm>
                      <a:off x="0" y="0"/>
                      <a:ext cx="5486400" cy="5185229"/>
                    </a:xfrm>
                    <a:prstGeom prst="rect"/>
                  </pic:spPr>
                </pic:pic>
              </a:graphicData>
            </a:graphic>
          </wp:inline>
        </w:drawing>
      </w:r>
    </w:p>
    <w:p>
      <w:pPr>
        <w:pStyle w:val="ListBullet"/>
      </w:pPr>
      <w:r>
        <w:t>Calculate indoor, outdoor and combined rates. Which relevant weakness disappears from view when only the combined rate is reported?</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the Reproducible AI Research Study, retain an annotated worked trace and the changed-case reasoning. Connect the claim to its records, units and assumptions so another investigator can challenge or reproduce it.</w:t>
      </w:r>
    </w:p>
    <w:p>
      <w:pPr>
        <w:pStyle w:val="Heading1"/>
      </w:pPr>
      <w:r>
        <w:t>13. Reference · Project milestone</w:t>
      </w:r>
    </w:p>
    <w:p>
      <w:r>
        <w:t>Keep this task’s inputs,rule and response together.</w:t>
      </w:r>
    </w:p>
    <w:p>
      <w:pPr>
        <w:pStyle w:val="Heading2"/>
      </w:pPr>
      <w:r>
        <w:t>Complete task and evidence</w:t>
      </w:r>
    </w:p>
    <w:p>
      <w:pPr>
        <w:pStyle w:val="ListBullet"/>
      </w:pPr>
      <w:r>
        <w:t>Project: Reproducible AI Research Study</w:t>
      </w:r>
    </w:p>
    <w:p>
      <w:pPr>
        <w:pStyle w:val="ListBullet"/>
      </w:pPr>
      <w:r>
        <w:t>Current milestone: Prepare the demonstration. Gather reproducible instructions, evidence, access checks and remaining limitations.</w:t>
      </w:r>
    </w:p>
    <w:p>
      <w:pPr>
        <w:pStyle w:val="ListBullet"/>
      </w:pPr>
      <w:r>
        <w:t>For the Reproducible AI Research Study, retain an annotated worked trace and the changed-case reasoning. Connect the claim to its records, units and assumptions so another investigator can challenge or reproduce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Check robustness across conditions. A fixed classifier is tested separately on indoor and shaded outdoor cases.</w:t>
      </w:r>
    </w:p>
    <w:p>
      <w:pPr>
        <w:pStyle w:val="Heading3"/>
      </w:pPr>
      <w:r>
        <w:t>Practice 1: explain the deciding evidence</w:t>
      </w:r>
    </w:p>
    <w:p>
      <w:pPr>
        <w:pStyle w:val="ListBullet"/>
      </w:pPr>
      <w:r>
        <w:t>Which labelled step matches this detail? The large observed gap motivates investigation rather than claiming condition independence.</w:t>
      </w:r>
    </w:p>
    <w:p>
      <w:pPr>
        <w:pStyle w:val="ListBullet"/>
      </w:pPr>
      <w:r>
        <w:t>1. Name both slices</w:t>
      </w:r>
    </w:p>
    <w:p>
      <w:pPr>
        <w:pStyle w:val="ListBullet"/>
      </w:pPr>
      <w:r>
        <w:t>2. Compute rates</w:t>
      </w:r>
    </w:p>
    <w:p>
      <w:pPr>
        <w:pStyle w:val="ListBullet"/>
      </w:pPr>
      <w:r>
        <w:t>3. Bound robustness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Bound robustness The large observed gap motivates investigation rather than claiming condition independence.</w:t>
      </w:r>
    </w:p>
    <w:p>
      <w:pPr>
        <w:spacing w:line="336" w:lineRule="auto" w:after="180"/>
      </w:pPr>
      <w:r>
        <w:rPr>
          <w:b w:val="0"/>
        </w:rPr>
        <w:t>Robustness asks whether behaviour survives relevant changes in conditions. A total score can hide a weak slice; keep the scenario and denominator visible.</w:t>
      </w:r>
    </w:p>
    <w:p>
      <w:pPr>
        <w:pStyle w:val="Heading2"/>
      </w:pPr>
      <w:r>
        <w:t>Changed-case question and optional hint</w:t>
      </w:r>
    </w:p>
    <w:p>
      <w:pPr>
        <w:pStyle w:val="Heading3"/>
      </w:pPr>
      <w:r>
        <w:t>Practice 2: explain the deciding evidence</w:t>
      </w:r>
    </w:p>
    <w:p>
      <w:pPr>
        <w:pStyle w:val="ListBullet"/>
      </w:pPr>
      <w:r>
        <w:t>Changed-case practice: Report only the combined 10/16=62.5%. Which conclusion is supported by the supplied facts?</w:t>
      </w:r>
    </w:p>
    <w:p>
      <w:pPr>
        <w:pStyle w:val="ListBullet"/>
      </w:pPr>
      <w:r>
        <w:t>1. The arithmetic is correct, but the condition gap becomes hidden.</w:t>
      </w:r>
    </w:p>
    <w:p>
      <w:pPr>
        <w:pStyle w:val="ListBullet"/>
      </w:pPr>
      <w:r>
        <w:t>2. This one example guarantees correct results for every future input.</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The arithmetic is correct, but the condition gap becomes hidden. Combining records discards the slice distinction relevant to the deployment goal.</w:t>
      </w:r>
    </w:p>
    <w:p>
      <w:pPr>
        <w:pStyle w:val="Heading2"/>
      </w:pPr>
      <w:r>
        <w:t>Repair and retain the record</w:t>
      </w:r>
    </w:p>
    <w:p>
      <w:pPr>
        <w:spacing w:line="336" w:lineRule="auto" w:after="180"/>
      </w:pPr>
      <w:r>
        <w:rPr>
          <w:b w:val="0"/>
        </w:rPr>
        <w:t xml:space="preserve">Review Inspecting failures and anomalies (ai-7/26). Goal: Explain the </w:t>
      </w:r>
      <w:r>
        <w:rPr>
          <w:b/>
        </w:rPr>
        <w:t>mechanism</w:t>
      </w:r>
      <w:r>
        <w:rPr>
          <w:b w:val="0"/>
        </w:rPr>
        <w:t xml:space="preserve"> and terminology of inspecting failures and anomalies. Short practice: Calculate mean and median for 2,2,2,10.</w:t>
      </w:r>
    </w:p>
    <w:p>
      <w:pPr>
        <w:spacing w:line="336" w:lineRule="auto" w:after="180"/>
      </w:pPr>
      <w:r>
        <w:rPr>
          <w:b w:val="0"/>
        </w:rPr>
        <w:t>What does the timeout log establish, and why is deleting that inconvenient record incompatible with the stated plan?. Return to this week and explain what you changed.</w:t>
      </w:r>
    </w:p>
    <w:p>
      <w:pPr>
        <w:spacing w:line="336" w:lineRule="auto" w:after="180"/>
      </w:pPr>
      <w:r>
        <w:rPr>
          <w:b w:val="0"/>
        </w:rPr>
        <w:t xml:space="preserve">Review Reproducible environment and records (ai-7/24). Goal: Explain the </w:t>
      </w:r>
      <w:r>
        <w:rPr>
          <w:b/>
        </w:rPr>
        <w:t>mechanism</w:t>
      </w:r>
      <w:r>
        <w:rPr>
          <w:b w:val="0"/>
        </w:rPr>
        <w:t xml:space="preserve"> and terminology of reproducible environment and records. Short practice: Trace the recorded mean for 2,4,6 and its changed result for 2,4,9.</w:t>
      </w:r>
    </w:p>
    <w:p>
      <w:pPr>
        <w:spacing w:line="336" w:lineRule="auto" w:after="180"/>
      </w:pPr>
      <w:r>
        <w:rPr>
          <w:b w:val="0"/>
        </w:rPr>
        <w:t xml:space="preserve">Which artefacts must accompany the </w:t>
      </w:r>
      <w:r>
        <w:rPr>
          <w:b/>
        </w:rPr>
        <w:t>output</w:t>
      </w:r>
      <w:r>
        <w:rPr>
          <w:b w:val="0"/>
        </w:rPr>
        <w:t xml:space="preserve"> so another team can identify the exact run?. Return to this week and explain what you changed.</w:t>
      </w:r>
    </w:p>
    <w:p>
      <w:pPr>
        <w:spacing w:line="336" w:lineRule="auto" w:after="180"/>
      </w:pPr>
      <w:r>
        <w:rPr>
          <w:b w:val="0"/>
        </w:rPr>
        <w:t xml:space="preserve">Review Predefining an analysis plan (ai-7/21). Goal: Explain the </w:t>
      </w:r>
      <w:r>
        <w:rPr>
          <w:b/>
        </w:rPr>
        <w:t>mechanism</w:t>
      </w:r>
      <w:r>
        <w:rPr>
          <w:b w:val="0"/>
        </w:rPr>
        <w:t xml:space="preserve"> and terminology of predefining an analysis plan. Short practice: Apply the recorded exclusion rule.</w:t>
      </w:r>
    </w:p>
    <w:p>
      <w:pPr>
        <w:spacing w:line="336" w:lineRule="auto" w:after="180"/>
      </w:pPr>
      <w:r>
        <w:rPr>
          <w:b w:val="0"/>
        </w:rPr>
        <w:t>Can two readable model failures be removed, and how must a necessary later plan change be disclosed?.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Robustness across conditions: the case</w:t>
      </w:r>
    </w:p>
    <w:p>
      <w:r>
        <w:drawing>
          <wp:inline xmlns:a="http://schemas.openxmlformats.org/drawingml/2006/main" xmlns:pic="http://schemas.openxmlformats.org/drawingml/2006/picture">
            <wp:extent cx="5486400" cy="2834640"/>
            <wp:docPr id="4" name="Picture 4" descr="Check robustness across conditions. A fixed classifier is tested separately on indoor and shaded outdoor cases. Supplied facts: Indoor 7/8 correct; outdoor 3/8 correct. The rubric and frozen model are unchanged."/>
            <wp:cNvGraphicFramePr>
              <a:graphicFrameLocks noChangeAspect="1"/>
            </wp:cNvGraphicFramePr>
            <a:graphic>
              <a:graphicData uri="http://schemas.openxmlformats.org/drawingml/2006/picture">
                <pic:pic>
                  <pic:nvPicPr>
                    <pic:cNvPr id="0" name="academy-story-ai-7-27-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Check robustness across conditions. A fixed classifier is tested separately on indoor and shaded outdoor cases. Supplied facts: Indoor 7/8 correct; outdoor 3/8 correct. The rubric and frozen model are unchanged.</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337560"/>
            <wp:docPr id="5" name="Picture 5" descr="Name both slices: Each condition has eight labelled cases. → Compute rates: Indoor is 87.5%; outdoor is 37.5%. → Bound robustness: The large observed gap motivates investigation rather than claiming condition independence."/>
            <wp:cNvGraphicFramePr>
              <a:graphicFrameLocks noChangeAspect="1"/>
            </wp:cNvGraphicFramePr>
            <a:graphic>
              <a:graphicData uri="http://schemas.openxmlformats.org/drawingml/2006/picture">
                <pic:pic>
                  <pic:nvPicPr>
                    <pic:cNvPr id="0" name="academy-story-ai-7-27-02.png"/>
                    <pic:cNvPicPr/>
                  </pic:nvPicPr>
                  <pic:blipFill>
                    <a:blip r:embed="rId13"/>
                    <a:stretch>
                      <a:fillRect/>
                    </a:stretch>
                  </pic:blipFill>
                  <pic:spPr>
                    <a:xfrm>
                      <a:off x="0" y="0"/>
                      <a:ext cx="5486400" cy="3337560"/>
                    </a:xfrm>
                    <a:prstGeom prst="rect"/>
                  </pic:spPr>
                </pic:pic>
              </a:graphicData>
            </a:graphic>
          </wp:inline>
        </w:drawing>
      </w:r>
    </w:p>
    <w:p>
      <w:pPr>
        <w:spacing w:line="336" w:lineRule="auto" w:after="180"/>
      </w:pPr>
      <w:r>
        <w:rPr>
          <w:b w:val="0"/>
        </w:rPr>
        <w:t>Name both slices: Each condition has eight labelled cases. → Compute rates: Indoor is 87.5%; outdoor is 37.5%. → Bound robustness: The large observed gap motivates investigation rather than claiming condition independence.</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Fixed model across conditions</w:t>
      </w:r>
    </w:p>
    <w:p>
      <w:r>
        <w:drawing>
          <wp:inline xmlns:a="http://schemas.openxmlformats.org/drawingml/2006/main" xmlns:pic="http://schemas.openxmlformats.org/drawingml/2006/picture">
            <wp:extent cx="5486400" cy="2834640"/>
            <wp:docPr id="6" name="Picture 6" descr="Fixed model across conditions. Units: correct cases out of 8 per condition. Indoor: 7. Shaded outdoor: 3."/>
            <wp:cNvGraphicFramePr>
              <a:graphicFrameLocks noChangeAspect="1"/>
            </wp:cNvGraphicFramePr>
            <a:graphic>
              <a:graphicData uri="http://schemas.openxmlformats.org/drawingml/2006/picture">
                <pic:pic>
                  <pic:nvPicPr>
                    <pic:cNvPr id="0" name="academy-story-ai-7-27-03.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Fixed model across conditions. Units: correct cases out of 8 per condition. Indoor: 7. Shaded outdoor: 3.</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41904"/>
            <wp:docPr id="7" name="Picture 7" descr="Original case: The large observed gap motivates investigation rather than claiming condition independence. Changed condition: Report only the combined 10/16=62.5%. Expected result: The arithmetic is correct, but the condition gap becomes hidden. Reason: Combining records discards the slice distinction relevant to the deployment goal."/>
            <wp:cNvGraphicFramePr>
              <a:graphicFrameLocks noChangeAspect="1"/>
            </wp:cNvGraphicFramePr>
            <a:graphic>
              <a:graphicData uri="http://schemas.openxmlformats.org/drawingml/2006/picture">
                <pic:pic>
                  <pic:nvPicPr>
                    <pic:cNvPr id="0" name="academy-story-ai-7-27-04.png"/>
                    <pic:cNvPicPr/>
                  </pic:nvPicPr>
                  <pic:blipFill>
                    <a:blip r:embed="rId15"/>
                    <a:stretch>
                      <a:fillRect/>
                    </a:stretch>
                  </pic:blipFill>
                  <pic:spPr>
                    <a:xfrm>
                      <a:off x="0" y="0"/>
                      <a:ext cx="5486400" cy="3041904"/>
                    </a:xfrm>
                    <a:prstGeom prst="rect"/>
                  </pic:spPr>
                </pic:pic>
              </a:graphicData>
            </a:graphic>
          </wp:inline>
        </w:drawing>
      </w:r>
    </w:p>
    <w:p>
      <w:pPr>
        <w:spacing w:line="336" w:lineRule="auto" w:after="180"/>
      </w:pPr>
      <w:r>
        <w:rPr>
          <w:b w:val="0"/>
        </w:rPr>
        <w:t>Original case: The large observed gap motivates investigation rather than claiming condition independence. Changed condition: Report only the combined 10/16=62.5%.</w:t>
      </w:r>
    </w:p>
    <w:p>
      <w:pPr>
        <w:spacing w:line="336" w:lineRule="auto" w:after="180"/>
      </w:pPr>
      <w:r>
        <w:rPr>
          <w:b w:val="0"/>
        </w:rPr>
        <w:t>Expected result: The arithmetic is correct, but the condition gap becomes hidden. Reason: Combining records discards the slice distinction relevant to the deployment goal.</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Robustness asks whether behaviour survives relevant changes in conditions. A total score can hide a weak slice; keep the scenario and denominator visible. Limit: Eight cases per slice do not establish stable population rates or the reason for the difference."/>
            <wp:cNvGraphicFramePr>
              <a:graphicFrameLocks noChangeAspect="1"/>
            </wp:cNvGraphicFramePr>
            <a:graphic>
              <a:graphicData uri="http://schemas.openxmlformats.org/drawingml/2006/picture">
                <pic:pic>
                  <pic:nvPicPr>
                    <pic:cNvPr id="0" name="academy-story-ai-7-27-05.png"/>
                    <pic:cNvPicPr/>
                  </pic:nvPicPr>
                  <pic:blipFill>
                    <a:blip r:embed="rId16"/>
                    <a:stretch>
                      <a:fillRect/>
                    </a:stretch>
                  </pic:blipFill>
                  <pic:spPr>
                    <a:xfrm>
                      <a:off x="0" y="0"/>
                      <a:ext cx="5486400" cy="2834640"/>
                    </a:xfrm>
                    <a:prstGeom prst="rect"/>
                  </pic:spPr>
                </pic:pic>
              </a:graphicData>
            </a:graphic>
          </wp:inline>
        </w:drawing>
      </w:r>
    </w:p>
    <w:p>
      <w:pPr>
        <w:spacing w:line="336" w:lineRule="auto" w:after="180"/>
      </w:pPr>
      <w:r>
        <w:rPr>
          <w:b w:val="0"/>
        </w:rPr>
        <w:t>Robustness asks whether behaviour survives relevant changes in conditions. A total score can hide a weak slice; keep the scenario and denominator visible.</w:t>
      </w:r>
    </w:p>
    <w:p>
      <w:pPr>
        <w:spacing w:line="336" w:lineRule="auto" w:after="180"/>
      </w:pPr>
      <w:r>
        <w:rPr>
          <w:b w:val="0"/>
        </w:rPr>
        <w:t>Limit: Eight cases per slice do not establish stable population rates or the reason for the difference.</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alculate indoor, outdoor and combined rates. Which relevant weakness disappears from view when only the combined rate is reported?"/>
            <wp:cNvGraphicFramePr>
              <a:graphicFrameLocks noChangeAspect="1"/>
            </wp:cNvGraphicFramePr>
            <a:graphic>
              <a:graphicData uri="http://schemas.openxmlformats.org/drawingml/2006/picture">
                <pic:pic>
                  <pic:nvPicPr>
                    <pic:cNvPr id="0" name="academy-story-ai-7-27-06.png"/>
                    <pic:cNvPicPr/>
                  </pic:nvPicPr>
                  <pic:blipFill>
                    <a:blip r:embed="rId17"/>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Calculate indoor, outdoor and combined rates. Which relevant weakness disappears from view when only the combined rate is reported?</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Robustness across conditions: the case</w:t>
      </w:r>
    </w:p>
    <w:p>
      <w:pPr>
        <w:pStyle w:val="Heading3"/>
      </w:pPr>
      <w:r>
        <w:t>02. Follow the deciding steps</w:t>
      </w:r>
    </w:p>
    <w:p>
      <w:pPr>
        <w:pStyle w:val="Heading3"/>
      </w:pPr>
      <w:r>
        <w:t>03. Fixed model across conditions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