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ai-7/29</w:t>
      </w:r>
    </w:p>
    <w:p>
      <w:pPr>
        <w:pStyle w:val="Title"/>
      </w:pPr>
      <w:r>
        <w:t>Figures that preserve evidence</w:t>
      </w:r>
    </w:p>
    <w:p>
      <w:r>
        <w:t>Project: Reproducible AI Research Study</w:t>
      </w:r>
    </w:p>
    <w:p>
      <w:pPr>
        <w:pStyle w:val="Heading1"/>
      </w:pPr>
      <w:r>
        <w:t>One complete research-case evidence record.</w:t>
      </w:r>
    </w:p>
    <w:p>
      <w:r>
        <w:t>Preserve units, case counts and uncertainty limits without making a figure stand in for missing evidence.</w:t>
      </w:r>
    </w:p>
    <w:p>
      <w:r>
        <w:t>Recall → W1–W3/W5 → independent case → project evidence → feedback and delayed return.</w:t>
      </w:r>
    </w:p>
    <w:p>
      <w:pPr>
        <w:pStyle w:val="Heading1"/>
      </w:pPr>
      <w:r>
        <w:t>01. Recall · Retrieve before notes</w:t>
      </w:r>
    </w:p>
    <w:p>
      <w:r>
        <w:t>Keep this task’s inputs,rule and response together.</w:t>
      </w:r>
    </w:p>
    <w:p>
      <w:pPr>
        <w:pStyle w:val="Heading2"/>
      </w:pPr>
      <w:r>
        <w:t>Complete task and evidence</w:t>
      </w:r>
    </w:p>
    <w:p>
      <w:pPr>
        <w:pStyle w:val="ListBullet"/>
      </w:pPr>
      <w:r>
        <w:t>Try the recall before opening notes. Then use a different colour or a labelled second line to correct your explanation.</w:t>
      </w:r>
    </w:p>
    <w:p>
      <w:pPr>
        <w:pStyle w:val="Heading3"/>
      </w:pPr>
      <w:r>
        <w:t>Negative results and claim revision</w:t>
      </w:r>
    </w:p>
    <w:p>
      <w:pPr>
        <w:pStyle w:val="ListBullet"/>
      </w:pPr>
      <w:r>
        <w:t>Without opening the old lesson, explain one key idea from Negative results and claim revision.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Inspecting failures and anomalies</w:t>
      </w:r>
    </w:p>
    <w:p>
      <w:pPr>
        <w:pStyle w:val="ListBullet"/>
      </w:pPr>
      <w:r>
        <w:t>Without opening the old lesson, explain one key idea from Inspecting failures and anomalies.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Power and resource tradeoffs</w:t>
      </w:r>
    </w:p>
    <w:p>
      <w:pPr>
        <w:pStyle w:val="ListBullet"/>
      </w:pPr>
      <w:r>
        <w:t>Without opening the old lesson, explain one key idea from Power and resource tradeoffs.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W1 · Explain the current example</w:t>
      </w:r>
    </w:p>
    <w:p>
      <w:r>
        <w:t>Keep this task’s inputs,rule and response together.</w:t>
      </w:r>
    </w:p>
    <w:p>
      <w:pPr>
        <w:pStyle w:val="Heading2"/>
      </w:pPr>
      <w:r>
        <w:t>Complete task and evidence</w:t>
      </w:r>
    </w:p>
    <w:p>
      <w:pPr>
        <w:pStyle w:val="ListBullet"/>
      </w:pPr>
      <w:r>
        <w:t>Figures represent evidence and must preserve units, denominators, scales and uncertainty limits. Main supplied rates A 80%, B 82% differ by two percentage points, or 2.5% relative to A. Raw case counts are unknown; do not invent eighty or eighty-two cases out of one hundred. Bars starting secretly at 79% have visible heights one and three, exaggerating the actual ratio. Use zero-baseline magnitude bars or a clearly explained difference plot. Separate picture has A 6/10 = 60%, B 8/10 = 80%, difference two correct or twenty percentage points. A hidden start at five gives drawn heights one/three and misleads. Keep ten-case scope visible. No error bars or significance information are supplied. Unequal-denominator counts require rates and both totals, plus case/eligibility context; rate ordering alone does not establish a controlled or causal advantage. A polished chart does not improve sampling or add observations.</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 Trace the worked case</w:t>
      </w:r>
    </w:p>
    <w:p>
      <w:r>
        <w:t>Keep the supplied inputs, comparison rule and evidence together.</w:t>
      </w:r>
    </w:p>
    <w:p>
      <w:pPr>
        <w:pStyle w:val="Heading2"/>
      </w:pPr>
      <w:r>
        <w:t>Complete task and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figure calculation</w:t>
            </w:r>
          </w:p>
        </w:tc>
        <w:tc>
          <w:tcPr>
            <w:tcW w:type="dxa" w:w="3408"/>
          </w:tcPr>
          <w:p>
            <w:r>
              <w:t>Complete value</w:t>
            </w:r>
          </w:p>
        </w:tc>
        <w:tc>
          <w:tcPr>
            <w:tcW w:type="dxa" w:w="3408"/>
          </w:tcPr>
          <w:p>
            <w:r>
              <w:t>Meaning</w:t>
            </w:r>
          </w:p>
        </w:tc>
      </w:tr>
      <w:tr>
        <w:tc>
          <w:tcPr>
            <w:tcW w:type="dxa" w:w="3408"/>
          </w:tcPr>
          <w:p>
            <w:r>
              <w:t>A rate</w:t>
            </w:r>
          </w:p>
        </w:tc>
        <w:tc>
          <w:tcPr>
            <w:tcW w:type="dxa" w:w="3408"/>
          </w:tcPr>
          <w:p>
            <w:r>
              <w:t>80%</w:t>
            </w:r>
          </w:p>
        </w:tc>
        <w:tc>
          <w:tcPr>
            <w:tcW w:type="dxa" w:w="3408"/>
          </w:tcPr>
          <w:p>
            <w:r>
              <w:t>Supplied rate; underlying denominator unknown</w:t>
            </w:r>
          </w:p>
        </w:tc>
      </w:tr>
      <w:tr>
        <w:tc>
          <w:tcPr>
            <w:tcW w:type="dxa" w:w="3408"/>
          </w:tcPr>
          <w:p>
            <w:r>
              <w:t>B rate</w:t>
            </w:r>
          </w:p>
        </w:tc>
        <w:tc>
          <w:tcPr>
            <w:tcW w:type="dxa" w:w="3408"/>
          </w:tcPr>
          <w:p>
            <w:r>
              <w:t>82%</w:t>
            </w:r>
          </w:p>
        </w:tc>
        <w:tc>
          <w:tcPr>
            <w:tcW w:type="dxa" w:w="3408"/>
          </w:tcPr>
          <w:p>
            <w:r>
              <w:t>Supplied rate; underlying denominator unknown</w:t>
            </w:r>
          </w:p>
        </w:tc>
      </w:tr>
      <w:tr>
        <w:tc>
          <w:tcPr>
            <w:tcW w:type="dxa" w:w="3408"/>
          </w:tcPr>
          <w:p>
            <w:r>
              <w:t>Absolute difference</w:t>
            </w:r>
          </w:p>
        </w:tc>
        <w:tc>
          <w:tcPr>
            <w:tcW w:type="dxa" w:w="3408"/>
          </w:tcPr>
          <w:p>
            <w:r>
              <w:t>82% − 80% = 2 percentage points</w:t>
            </w:r>
          </w:p>
        </w:tc>
        <w:tc>
          <w:tcPr>
            <w:tcW w:type="dxa" w:w="3408"/>
          </w:tcPr>
          <w:p>
            <w:r>
              <w:t>Correct rate-scale difference</w:t>
            </w:r>
          </w:p>
        </w:tc>
      </w:tr>
      <w:tr>
        <w:tc>
          <w:tcPr>
            <w:tcW w:type="dxa" w:w="3408"/>
          </w:tcPr>
          <w:p>
            <w:r>
              <w:t>Relative increase</w:t>
            </w:r>
          </w:p>
        </w:tc>
        <w:tc>
          <w:tcPr>
            <w:tcW w:type="dxa" w:w="3408"/>
          </w:tcPr>
          <w:p>
            <w:r>
              <w:t>2/80 = 2.5%</w:t>
            </w:r>
          </w:p>
        </w:tc>
        <w:tc>
          <w:tcPr>
            <w:tcW w:type="dxa" w:w="3408"/>
          </w:tcPr>
          <w:p>
            <w:r>
              <w:t>Different from two percentage points</w:t>
            </w:r>
          </w:p>
        </w:tc>
      </w:tr>
      <w:tr>
        <w:tc>
          <w:tcPr>
            <w:tcW w:type="dxa" w:w="3408"/>
          </w:tcPr>
          <w:p>
            <w:r>
              <w:t>Heights above hidden 79% baseline</w:t>
            </w:r>
          </w:p>
        </w:tc>
        <w:tc>
          <w:tcPr>
            <w:tcW w:type="dxa" w:w="3408"/>
          </w:tcPr>
          <w:p>
            <w:r>
              <w:t>A: 1 point; B: 3 points</w:t>
            </w:r>
          </w:p>
        </w:tc>
        <w:tc>
          <w:tcPr>
            <w:tcW w:type="dxa" w:w="3408"/>
          </w:tcPr>
          <w:p>
            <w:r>
              <w:t>Threefold drawn heights distort the actual rate ratio</w:t>
            </w:r>
          </w:p>
        </w:tc>
      </w:tr>
      <w:tr>
        <w:tc>
          <w:tcPr>
            <w:tcW w:type="dxa" w:w="3408"/>
          </w:tcPr>
          <w:p>
            <w:r>
              <w:t>Repair</w:t>
            </w:r>
          </w:p>
        </w:tc>
        <w:tc>
          <w:tcPr>
            <w:tcW w:type="dxa" w:w="3408"/>
          </w:tcPr>
          <w:p>
            <w:r>
              <w:t>Zero-baseline percentage bars or clearly labelled difference plot</w:t>
            </w:r>
          </w:p>
        </w:tc>
        <w:tc>
          <w:tcPr>
            <w:tcW w:type="dxa" w:w="3408"/>
          </w:tcPr>
          <w:p>
            <w:r>
              <w:t>Retain missing case-count and uncertainty information</w:t>
            </w:r>
          </w:p>
        </w:tc>
      </w:tr>
    </w:tbl>
    <w:p>
      <w:pPr>
        <w:pStyle w:val="ListBullet"/>
      </w:pPr>
      <w:r>
        <w:t>Figures represent evidence and must preserve units, denominators, scales and uncertainty limits. Main supplied rates A 80%, B 82% differ by two percentage points, or 2.5% relative to A. Raw case counts are unknown; do not invent eighty or eighty-two cases out of one hundred. Bars starting secretly at 79% have visible heights one and three, exaggerating the actual ratio. Use zero-baseline magnitude bars or a clearly explained difference plot. Separate picture has A 6/10 = 60%, B 8/10 = 80%, difference two correct or twenty percentage points. A hidden start at five gives drawn heights one/three and misleads. Keep ten-case scope visible. No error bars or significance information are supplied. Unequal-denominator counts require rates and both totals, plus case/eligibility context; rate ordering alone does not establish a controlled or causal advantage. A polished chart does not improve sampling or add observations.</w:t>
      </w:r>
    </w:p>
    <w:p>
      <w:pPr>
        <w:pStyle w:val="ListBullet"/>
      </w:pPr>
      <w:r>
        <w:t>Rates A 80%, B 82% are plotted on bars starting 79%, making B look several times larger.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 Repair a misconception</w:t>
      </w:r>
    </w:p>
    <w:p>
      <w:r>
        <w:t>Keep this task’s inputs,rule and response together.</w:t>
      </w:r>
    </w:p>
    <w:p>
      <w:pPr>
        <w:pStyle w:val="Heading2"/>
      </w:pPr>
      <w:r>
        <w:t>Complete task and evidence</w:t>
      </w:r>
    </w:p>
    <w:p>
      <w:pPr>
        <w:pStyle w:val="ListBullet"/>
      </w:pPr>
      <w:r>
        <w:t>Figures represent evidence and must preserve units, denominators, scales and uncertainty limits. Main supplied rates A 80%, B 82% differ by two percentage points, or 2.5% relative to A. Raw case counts are unknown; do not invent eighty or eighty-two cases out of one hundred. Bars starting secretly at 79% have visible heights one and three, exaggerating the actual ratio. Use zero-baseline magnitude bars or a clearly explained difference plot. Separate picture has A 6/10 = 60%, B 8/10 = 80%, difference two correct or twenty percentage points. A hidden start at five gives drawn heights one/three and misleads. Keep ten-case scope visible. No error bars or significance information are supplied. Unequal-denominator counts require rates and both totals, plus case/eligibility context; rate ordering alone does not establish a controlled or causal advantage. A polished chart does not improve sampling or add observations.</w:t>
      </w:r>
    </w:p>
    <w:p>
      <w:pPr>
        <w:pStyle w:val="ListBullet"/>
      </w:pPr>
      <w:r>
        <w:t>A report omits this qualification: Visual choices must reflect the intended metric and cannot imply causal certainty from association.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 Explain the limitation</w:t>
      </w:r>
    </w:p>
    <w:p>
      <w:r>
        <w:t>Keep this task’s inputs,rule and response together.</w:t>
      </w:r>
    </w:p>
    <w:p>
      <w:pPr>
        <w:pStyle w:val="Heading2"/>
      </w:pPr>
      <w:r>
        <w:t>Complete task and evidence</w:t>
      </w:r>
    </w:p>
    <w:p>
      <w:pPr>
        <w:pStyle w:val="ListBullet"/>
      </w:pPr>
      <w:r>
        <w:t>Figures represent evidence and must preserve units, denominators, scales and uncertainty limits. Main supplied rates A 80%, B 82% differ by two percentage points, or 2.5% relative to A. Raw case counts are unknown; do not invent eighty or eighty-two cases out of one hundred. Bars starting secretly at 79% have visible heights one and three, exaggerating the actual ratio. Use zero-baseline magnitude bars or a clearly explained difference plot. Separate picture has A 6/10 = 60%, B 8/10 = 80%, difference two correct or twenty percentage points. A hidden start at five gives drawn heights one/three and misleads. Keep ten-case scope visible. No error bars or significance information are supplied. Unequal-denominator counts require rates and both totals, plus case/eligibility context; rate ordering alone does not establish a controlled or causal advantage. A polished chart does not improve sampling or add observations.</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Try alone · Selected transfer</w:t>
      </w:r>
    </w:p>
    <w:p>
      <w:r>
        <w:t>Keep this task’s inputs,rule and response together.</w:t>
      </w:r>
    </w:p>
    <w:p>
      <w:pPr>
        <w:pStyle w:val="Heading2"/>
      </w:pPr>
      <w:r>
        <w:t>Complete task and evidence</w:t>
      </w:r>
    </w:p>
    <w:p>
      <w:pPr>
        <w:pStyle w:val="Heading3"/>
      </w:pPr>
      <w:r>
        <w:t>Independent case: Apply a new case independently</w:t>
      </w:r>
    </w:p>
    <w:p>
      <w:pPr>
        <w:pStyle w:val="ListBullet"/>
      </w:pPr>
      <w:r>
        <w:t>Counts A 8/10, B 9/15 are plotted as 8 versus 9 without denominators. Correct.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Attempt this case before feedback. Record any help. Earlier examples below are further practice; a case already practised with feedback cannot establish fresh transfer.</w:t>
      </w:r>
    </w:p>
    <w:p>
      <w:pPr>
        <w:pStyle w:val="Heading1"/>
      </w:pPr>
      <w:r>
        <w:t>10. Project · Keep the research evidence</w:t>
      </w:r>
    </w:p>
    <w:p>
      <w:r>
        <w:t>Preserve the question, protocol, observations, analysis and limits.</w:t>
      </w:r>
    </w:p>
    <w:p>
      <w:pPr>
        <w:pStyle w:val="Heading2"/>
      </w:pPr>
      <w:r>
        <w:t>Complete task and evidence</w:t>
      </w:r>
    </w:p>
    <w:p>
      <w:pPr>
        <w:pStyle w:val="ListBullet"/>
      </w:pPr>
      <w:r>
        <w:t>Add a labelled figures that preserve evidence evidence sheet to Reproducible AI Research Study. Show how you can explain the mechanism and terminology of figures that preserve evidence. Use the supplied fictional case and keep its inputs, intermediate steps, calculation or prediction,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 Repair and return</w:t>
      </w:r>
    </w:p>
    <w:p>
      <w:r>
        <w:t>Keep this task’s inputs,rule and response together.</w:t>
      </w:r>
    </w:p>
    <w:p>
      <w:pPr>
        <w:pStyle w:val="Heading2"/>
      </w:pPr>
      <w:r>
        <w:t>Complete task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pStyle w:val="ListBullet"/>
      </w:pPr>
      <w:r>
        <w:t>Revisit this idea with your teacher after a delay. Familiarity is different from explaining and using it on a changed case.</w:t>
      </w:r>
    </w:p>
    <w:p>
      <w:pPr>
        <w:pStyle w:val="Heading1"/>
      </w:pPr>
      <w:r>
        <w:t>Reference bank and extra practice</w:t>
      </w:r>
    </w:p>
    <w:p>
      <w:pPr>
        <w:pStyle w:val="Heading1"/>
      </w:pPr>
      <w:r>
        <w:t>02. Reference · Supported W2 record</w:t>
      </w:r>
    </w:p>
    <w:p>
      <w:r>
        <w:t>Keep this task’s inputs,rule and response together.</w:t>
      </w:r>
    </w:p>
    <w:p>
      <w:pPr>
        <w:pStyle w:val="Heading2"/>
      </w:pPr>
      <w:r>
        <w:t>Complete task and evidence</w:t>
      </w:r>
    </w:p>
    <w:p>
      <w:pPr>
        <w:pStyle w:val="ListBullet"/>
      </w:pPr>
      <w:r>
        <w:t>Use W2: Trace the worked case for Figures that preserve evidence.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Individual reasoning check</w:t>
      </w:r>
    </w:p>
    <w:p>
      <w:r>
        <w:t>Keep this task’s inputs,rule and response together.</w:t>
      </w:r>
    </w:p>
    <w:p>
      <w:pPr>
        <w:pStyle w:val="Heading2"/>
      </w:pPr>
      <w:r>
        <w:t>Complete task and evidence</w:t>
      </w:r>
    </w:p>
    <w:p>
      <w:pPr>
        <w:pStyle w:val="ListBullet"/>
      </w:pPr>
      <w:r>
        <w:t>Use the worked case for Figures that preserve evidence. Proposed explanation: “The worked result establishes every future case”.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Reference · Earlier W4 response copy</w:t>
      </w:r>
    </w:p>
    <w:p>
      <w:r>
        <w:t>Keep this task’s inputs,rule and response together.</w:t>
      </w:r>
    </w:p>
    <w:p>
      <w:pPr>
        <w:pStyle w:val="Heading2"/>
      </w:pPr>
      <w:r>
        <w:t>Complete task and evidence</w:t>
      </w:r>
    </w:p>
    <w:p>
      <w:pPr>
        <w:pStyle w:val="ListBullet"/>
      </w:pPr>
      <w:r>
        <w:t>Counts A 8/10, B 9/15 are plotted as 8 versus 9 without denominators. Correct.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Extra practice · Pictured case</w:t>
      </w:r>
    </w:p>
    <w:p>
      <w:r>
        <w:t>Keep this task’s inputs,rule and response together.</w:t>
      </w:r>
    </w:p>
    <w:p>
      <w:pPr>
        <w:pStyle w:val="Heading2"/>
      </w:pPr>
      <w:r>
        <w:t>Complete task and evidence</w:t>
      </w:r>
    </w:p>
    <w:p>
      <w:r>
        <w:drawing>
          <wp:inline xmlns:a="http://schemas.openxmlformats.org/drawingml/2006/main" xmlns:pic="http://schemas.openxmlformats.org/drawingml/2006/picture">
            <wp:extent cx="5486400" cy="2992582"/>
            <wp:docPr id="1" name="Picture 1" descr="Two zero-baseline charts. Main supplied rates are eighty and eighty-two percent, difference two percentage points with underlying counts unknown. Separate picture shows six and eight correct of ten, difference two cases or twenty percentage points. No uncertainty intervals are supplied."/>
            <wp:cNvGraphicFramePr>
              <a:graphicFrameLocks noChangeAspect="1"/>
            </wp:cNvGraphicFramePr>
            <a:graphic>
              <a:graphicData uri="http://schemas.openxmlformats.org/drawingml/2006/picture">
                <pic:pic>
                  <pic:nvPicPr>
                    <pic:cNvPr id="0" name="ai-7-29-honest-axes.png"/>
                    <pic:cNvPicPr/>
                  </pic:nvPicPr>
                  <pic:blipFill>
                    <a:blip r:embed="rId9"/>
                    <a:stretch>
                      <a:fillRect/>
                    </a:stretch>
                  </pic:blipFill>
                  <pic:spPr>
                    <a:xfrm>
                      <a:off x="0" y="0"/>
                      <a:ext cx="5486400" cy="2992582"/>
                    </a:xfrm>
                    <a:prstGeom prst="rect"/>
                  </pic:spPr>
                </pic:pic>
              </a:graphicData>
            </a:graphic>
          </wp:inline>
        </w:drawing>
      </w:r>
    </w:p>
    <w:p>
      <w:pPr>
        <w:pStyle w:val="ListBullet"/>
      </w:pPr>
      <w:r>
        <w:t>Draw bars that preserve the comparison. A report plots correct counts for two versions on the same ten cases.</w:t>
      </w:r>
    </w:p>
    <w:p>
      <w:pPr>
        <w:pStyle w:val="ListBullet"/>
      </w:pPr>
      <w:r>
        <w:t>A has 6/10 correct; B has 8/10. The count axis should start at zero and identify the ten-case denominator.</w:t>
      </w:r>
    </w:p>
    <w:p>
      <w:r>
        <w:drawing>
          <wp:inline xmlns:a="http://schemas.openxmlformats.org/drawingml/2006/main" xmlns:pic="http://schemas.openxmlformats.org/drawingml/2006/picture">
            <wp:extent cx="5486400" cy="2641600"/>
            <wp:docPr id="2" name="Picture 2" descr="Zero-based correct counts"/>
            <wp:cNvGraphicFramePr>
              <a:graphicFrameLocks noChangeAspect="1"/>
            </wp:cNvGraphicFramePr>
            <a:graphic>
              <a:graphicData uri="http://schemas.openxmlformats.org/drawingml/2006/picture">
                <pic:pic>
                  <pic:nvPicPr>
                    <pic:cNvPr id="0" name="academy-detail-ai-7-29.png"/>
                    <pic:cNvPicPr/>
                  </pic:nvPicPr>
                  <pic:blipFill>
                    <a:blip r:embed="rId10"/>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3" name="Picture 3" descr="Figures that preserve evidence. Draw honest bars: Use heights 6 and 8 on a zero-based correct-count axis.. Label the scale: State counts out of ten, not an unspecified quality score.. Keep context nearby: Note the fixed tasks and absence of a significance test."/>
            <wp:cNvGraphicFramePr>
              <a:graphicFrameLocks noChangeAspect="1"/>
            </wp:cNvGraphicFramePr>
            <a:graphic>
              <a:graphicData uri="http://schemas.openxmlformats.org/drawingml/2006/picture">
                <pic:pic>
                  <pic:nvPicPr>
                    <pic:cNvPr id="0" name="academy-visual-ai-7-29.png"/>
                    <pic:cNvPicPr/>
                  </pic:nvPicPr>
                  <pic:blipFill>
                    <a:blip r:embed="rId11"/>
                    <a:stretch>
                      <a:fillRect/>
                    </a:stretch>
                  </pic:blipFill>
                  <pic:spPr>
                    <a:xfrm>
                      <a:off x="0" y="0"/>
                      <a:ext cx="5486400" cy="5145314"/>
                    </a:xfrm>
                    <a:prstGeom prst="rect"/>
                  </pic:spPr>
                </pic:pic>
              </a:graphicData>
            </a:graphic>
          </wp:inline>
        </w:drawing>
      </w:r>
    </w:p>
    <w:p>
      <w:pPr>
        <w:pStyle w:val="ListBullet"/>
      </w:pPr>
      <w:r>
        <w:t>Draw count bars for 6/10 and 8/10 using the stated axis. Why must the denominator and fixed task context remain visible, and what distortion arises from an undisclosed axis start at five?</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Support used: alone / hint / worked example. This record is practice evidence.</w:t>
      </w:r>
    </w:p>
    <w:p>
      <w:pPr>
        <w:pStyle w:val="ListBullet"/>
      </w:pPr>
      <w:r>
        <w:t>Project connection: For the Reproducible AI Research Study, retain an annotated worked trace and the changed-case reasoning. Connect the claim to its records, units and assumptions so another investigator can challenge or reproduce it.</w:t>
      </w:r>
    </w:p>
    <w:p>
      <w:pPr>
        <w:pStyle w:val="Heading1"/>
      </w:pPr>
      <w:r>
        <w:t>13. Reference · Project milestone</w:t>
      </w:r>
    </w:p>
    <w:p>
      <w:r>
        <w:t>Keep this task’s inputs,rule and response together.</w:t>
      </w:r>
    </w:p>
    <w:p>
      <w:pPr>
        <w:pStyle w:val="Heading2"/>
      </w:pPr>
      <w:r>
        <w:t>Complete task and evidence</w:t>
      </w:r>
    </w:p>
    <w:p>
      <w:pPr>
        <w:pStyle w:val="ListBullet"/>
      </w:pPr>
      <w:r>
        <w:t>Project: Reproducible AI Research Study</w:t>
      </w:r>
    </w:p>
    <w:p>
      <w:pPr>
        <w:pStyle w:val="ListBullet"/>
      </w:pPr>
      <w:r>
        <w:t>Current milestone: Prepare the demonstration. Gather reproducible instructions, evidence, access checks and remaining limitations.</w:t>
      </w:r>
    </w:p>
    <w:p>
      <w:pPr>
        <w:pStyle w:val="ListBullet"/>
      </w:pPr>
      <w:r>
        <w:t>For the Reproducible AI Research Study, retain an annotated worked trace and the changed-case reasoning. Connect the claim to its records, units and assumptions so another investigator can challenge or reproduce 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Extra practice · Predict,check and repair</w:t>
      </w:r>
    </w:p>
    <w:p>
      <w:r>
        <w:t>Keep supported feedback separate from the independent case.</w:t>
      </w:r>
    </w:p>
    <w:p>
      <w:pPr>
        <w:pStyle w:val="Heading2"/>
      </w:pPr>
      <w:r>
        <w:t>First supported question and optional hint</w:t>
      </w:r>
    </w:p>
    <w:p>
      <w:pPr>
        <w:pStyle w:val="ListBullet"/>
      </w:pPr>
      <w:r>
        <w:t>Draw bars that preserve the comparison. A report plots correct counts for two versions on the same ten cases.</w:t>
      </w:r>
    </w:p>
    <w:p>
      <w:pPr>
        <w:pStyle w:val="Heading3"/>
      </w:pPr>
      <w:r>
        <w:t>Practice 1: explain the deciding evidence</w:t>
      </w:r>
    </w:p>
    <w:p>
      <w:pPr>
        <w:pStyle w:val="ListBullet"/>
      </w:pPr>
      <w:r>
        <w:t>Which labelled step matches this detail? Note the fixed tasks and absence of a significance test.</w:t>
      </w:r>
    </w:p>
    <w:p>
      <w:pPr>
        <w:pStyle w:val="ListBullet"/>
      </w:pPr>
      <w:r>
        <w:t>1. Draw honest bars</w:t>
      </w:r>
    </w:p>
    <w:p>
      <w:pPr>
        <w:pStyle w:val="ListBullet"/>
      </w:pPr>
      <w:r>
        <w:t>2. Label the scale</w:t>
      </w:r>
    </w:p>
    <w:p>
      <w:pPr>
        <w:pStyle w:val="ListBullet"/>
      </w:pPr>
      <w:r>
        <w:t>3. Keep context nearby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 xml:space="preserve">After your attempt, compare with the supported explanation: Keep context nearby Note the fixed tasks and absence of a significance test. Figures make </w:t>
      </w:r>
      <w:r>
        <w:rPr>
          <w:b/>
        </w:rPr>
        <w:t>evidence</w:t>
      </w:r>
      <w:r>
        <w:rPr>
          <w:b w:val="0"/>
        </w:rPr>
        <w:t xml:space="preserve"> easier to inspect when labels and scales preserve meaning.</w:t>
      </w:r>
    </w:p>
    <w:p>
      <w:pPr>
        <w:spacing w:line="336" w:lineRule="auto" w:after="180"/>
      </w:pPr>
      <w:r>
        <w:rPr>
          <w:b w:val="0"/>
        </w:rPr>
        <w:t>A dramatic-looking visual cannot supply missing uncertainty or representativeness.</w:t>
      </w:r>
    </w:p>
    <w:p>
      <w:pPr>
        <w:pStyle w:val="Heading2"/>
      </w:pPr>
      <w:r>
        <w:t>Changed-case question and optional hint</w:t>
      </w:r>
    </w:p>
    <w:p>
      <w:pPr>
        <w:pStyle w:val="Heading3"/>
      </w:pPr>
      <w:r>
        <w:t>Practice 2: explain the deciding evidence</w:t>
      </w:r>
    </w:p>
    <w:p>
      <w:pPr>
        <w:pStyle w:val="ListBullet"/>
      </w:pPr>
      <w:r>
        <w:t>Changed-case practice: Start the axis at 5 without making the truncation obvious. Which conclusion is supported by the supplied facts?</w:t>
      </w:r>
    </w:p>
    <w:p>
      <w:pPr>
        <w:pStyle w:val="ListBullet"/>
      </w:pPr>
      <w:r>
        <w:t>1. This one example guarantees correct results for every future input.</w:t>
      </w:r>
    </w:p>
    <w:p>
      <w:pPr>
        <w:pStyle w:val="ListBullet"/>
      </w:pPr>
      <w:r>
        <w:t>2. The bars exaggerate the visual contrast and require correction or clear disclosure.</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The bars exaggerate the visual contrast and require correction or clear disclosure. Visible heights no longer correspond to the full count scale.</w:t>
      </w:r>
    </w:p>
    <w:p>
      <w:pPr>
        <w:pStyle w:val="Heading2"/>
      </w:pPr>
      <w:r>
        <w:t>Repair and retain the record</w:t>
      </w:r>
    </w:p>
    <w:p>
      <w:pPr>
        <w:spacing w:line="336" w:lineRule="auto" w:after="180"/>
      </w:pPr>
      <w:r>
        <w:rPr>
          <w:b w:val="0"/>
        </w:rPr>
        <w:t xml:space="preserve">Review Negative results and claim revision (ai-7/28). Goal: Explain the </w:t>
      </w:r>
      <w:r>
        <w:rPr>
          <w:b/>
        </w:rPr>
        <w:t>mechanism</w:t>
      </w:r>
      <w:r>
        <w:rPr>
          <w:b w:val="0"/>
        </w:rPr>
        <w:t xml:space="preserve"> and terminology of negative results and claim revision. Short practice: Does a 6/8 tie support the </w:t>
      </w:r>
      <w:r>
        <w:rPr>
          <w:b/>
        </w:rPr>
        <w:t>prediction</w:t>
      </w:r>
      <w:r>
        <w:rPr>
          <w:b w:val="0"/>
        </w:rPr>
        <w:t xml:space="preserve"> that B scores higher?</w:t>
      </w:r>
    </w:p>
    <w:p>
      <w:pPr>
        <w:spacing w:line="336" w:lineRule="auto" w:after="180"/>
      </w:pPr>
      <w:r>
        <w:rPr>
          <w:b w:val="0"/>
        </w:rPr>
        <w:t>Explain why one newly selected favourable demonstration does not replace the original result or prove equivalence.. Return to this week and explain what you changed.</w:t>
      </w:r>
    </w:p>
    <w:p>
      <w:pPr>
        <w:spacing w:line="336" w:lineRule="auto" w:after="180"/>
      </w:pPr>
      <w:r>
        <w:rPr>
          <w:b w:val="0"/>
        </w:rPr>
        <w:t xml:space="preserve">Review Inspecting failures and anomalies (ai-7/26). Goal: Explain the </w:t>
      </w:r>
      <w:r>
        <w:rPr>
          <w:b/>
        </w:rPr>
        <w:t>mechanism</w:t>
      </w:r>
      <w:r>
        <w:rPr>
          <w:b w:val="0"/>
        </w:rPr>
        <w:t xml:space="preserve"> and terminology of inspecting failures and anomalies. Short practice: Calculate mean and median for 2,2,2,10.</w:t>
      </w:r>
    </w:p>
    <w:p>
      <w:pPr>
        <w:spacing w:line="336" w:lineRule="auto" w:after="180"/>
      </w:pPr>
      <w:r>
        <w:rPr>
          <w:b w:val="0"/>
        </w:rPr>
        <w:t>What does the timeout log establish, and why is deleting that inconvenient record incompatible with the stated plan?. Return to this week and explain what you changed.</w:t>
      </w:r>
    </w:p>
    <w:p>
      <w:pPr>
        <w:spacing w:line="336" w:lineRule="auto" w:after="180"/>
      </w:pPr>
      <w:r>
        <w:rPr>
          <w:b w:val="0"/>
        </w:rPr>
        <w:t xml:space="preserve">Review Power and resource tradeoffs (ai-7/23). Goal: Explain the </w:t>
      </w:r>
      <w:r>
        <w:rPr>
          <w:b/>
        </w:rPr>
        <w:t>mechanism</w:t>
      </w:r>
      <w:r>
        <w:rPr>
          <w:b w:val="0"/>
        </w:rPr>
        <w:t xml:space="preserve"> and terminology of power and resource tradeoffs. Short practice: Calculate both simulated detection fractions and resource costs.</w:t>
      </w:r>
    </w:p>
    <w:p>
      <w:pPr>
        <w:spacing w:line="336" w:lineRule="auto" w:after="180"/>
      </w:pPr>
      <w:r>
        <w:rPr>
          <w:b w:val="0"/>
        </w:rPr>
        <w:t>What additional detection is observed for the extra forty units, and does that establish power for an actual classroom study?.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15. Reference · Six-picture response sheets</w:t>
      </w:r>
    </w:p>
    <w:p>
      <w:r>
        <w:t>Choose the picture that helps explain the current step.</w:t>
      </w:r>
    </w:p>
    <w:p>
      <w:pPr>
        <w:pStyle w:val="Heading2"/>
      </w:pPr>
      <w:r>
        <w:t>01. Figures that preserve evidence: the case</w:t>
      </w:r>
    </w:p>
    <w:p>
      <w:r>
        <w:drawing>
          <wp:inline xmlns:a="http://schemas.openxmlformats.org/drawingml/2006/main" xmlns:pic="http://schemas.openxmlformats.org/drawingml/2006/picture">
            <wp:extent cx="5486400" cy="2834640"/>
            <wp:docPr id="4" name="Picture 4" descr="Draw bars that preserve the comparison. A report plots correct counts for two versions on the same ten cases. Supplied facts: A has 6/10 correct; B has 8/10. The count axis should start at zero and identify the ten-case denominator."/>
            <wp:cNvGraphicFramePr>
              <a:graphicFrameLocks noChangeAspect="1"/>
            </wp:cNvGraphicFramePr>
            <a:graphic>
              <a:graphicData uri="http://schemas.openxmlformats.org/drawingml/2006/picture">
                <pic:pic>
                  <pic:nvPicPr>
                    <pic:cNvPr id="0" name="academy-story-ai-7-29-01.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Draw bars that preserve the comparison. A report plots correct counts for two versions on the same ten cases. Supplied facts: A has 6/10 correct; B has 8/10.</w:t>
      </w:r>
    </w:p>
    <w:p>
      <w:pPr>
        <w:spacing w:line="336" w:lineRule="auto" w:after="180"/>
      </w:pPr>
      <w:r>
        <w:rPr>
          <w:b w:val="0"/>
        </w:rPr>
        <w:t>The count axis should start at zero and identify the ten-case denominator.</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182112"/>
            <wp:docPr id="5" name="Picture 5" descr="Draw honest bars: Use heights 6 and 8 on a zero-based correct-count axis. → Label the scale: State counts out of ten, not an unspecified quality score. → Keep context nearby: Note the fixed tasks and absence of a significance test."/>
            <wp:cNvGraphicFramePr>
              <a:graphicFrameLocks noChangeAspect="1"/>
            </wp:cNvGraphicFramePr>
            <a:graphic>
              <a:graphicData uri="http://schemas.openxmlformats.org/drawingml/2006/picture">
                <pic:pic>
                  <pic:nvPicPr>
                    <pic:cNvPr id="0" name="academy-story-ai-7-29-02.png"/>
                    <pic:cNvPicPr/>
                  </pic:nvPicPr>
                  <pic:blipFill>
                    <a:blip r:embed="rId13"/>
                    <a:stretch>
                      <a:fillRect/>
                    </a:stretch>
                  </pic:blipFill>
                  <pic:spPr>
                    <a:xfrm>
                      <a:off x="0" y="0"/>
                      <a:ext cx="5486400" cy="3182112"/>
                    </a:xfrm>
                    <a:prstGeom prst="rect"/>
                  </pic:spPr>
                </pic:pic>
              </a:graphicData>
            </a:graphic>
          </wp:inline>
        </w:drawing>
      </w:r>
    </w:p>
    <w:p>
      <w:pPr>
        <w:spacing w:line="336" w:lineRule="auto" w:after="180"/>
      </w:pPr>
      <w:r>
        <w:rPr>
          <w:b w:val="0"/>
        </w:rPr>
        <w:t>Draw honest bars: Use heights 6 and 8 on a zero-based correct-count axis. → Label the scale: State counts out of ten, not an unspecified quality score. → Keep context nearby: Note the fixed tasks and absence of a significance test.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Zero-based correct counts</w:t>
      </w:r>
    </w:p>
    <w:p>
      <w:r>
        <w:drawing>
          <wp:inline xmlns:a="http://schemas.openxmlformats.org/drawingml/2006/main" xmlns:pic="http://schemas.openxmlformats.org/drawingml/2006/picture">
            <wp:extent cx="5486400" cy="2834640"/>
            <wp:docPr id="6" name="Picture 6" descr="Zero-based correct counts. Units: correct cases out of 10. A: 6. B: 8."/>
            <wp:cNvGraphicFramePr>
              <a:graphicFrameLocks noChangeAspect="1"/>
            </wp:cNvGraphicFramePr>
            <a:graphic>
              <a:graphicData uri="http://schemas.openxmlformats.org/drawingml/2006/picture">
                <pic:pic>
                  <pic:nvPicPr>
                    <pic:cNvPr id="0" name="academy-story-ai-7-29-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Zero-based correct counts. Units: correct cases out of 10. A: 6. B: 8.</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Note the fixed tasks and absence of a significance test. Changed condition: Start the axis at 5 without making the truncation obvious. Expected result: The bars exaggerate the visual contrast and require correction or clear disclosure. Reason: Visible heights no longer correspond to the full count scale."/>
            <wp:cNvGraphicFramePr>
              <a:graphicFrameLocks noChangeAspect="1"/>
            </wp:cNvGraphicFramePr>
            <a:graphic>
              <a:graphicData uri="http://schemas.openxmlformats.org/drawingml/2006/picture">
                <pic:pic>
                  <pic:nvPicPr>
                    <pic:cNvPr id="0" name="academy-story-ai-7-29-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Original case: Note the fixed tasks and absence of a significance test. Changed condition: Start the axis at 5 without making the truncation obvious.</w:t>
      </w:r>
    </w:p>
    <w:p>
      <w:pPr>
        <w:spacing w:line="336" w:lineRule="auto" w:after="180"/>
      </w:pPr>
      <w:r>
        <w:rPr>
          <w:b w:val="0"/>
        </w:rPr>
        <w:t>Expected result: The bars exaggerate the visual contrast and require correction or clear disclosure. Reason: Visible heights no longer correspond to the full count scale.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Figures make evidence easier to inspect when labels and scales preserve meaning. A dramatic-looking visual cannot supply missing uncertainty or representativeness. Limit: A well-labelled chart still cannot establish a causal or population claim from ten cases."/>
            <wp:cNvGraphicFramePr>
              <a:graphicFrameLocks noChangeAspect="1"/>
            </wp:cNvGraphicFramePr>
            <a:graphic>
              <a:graphicData uri="http://schemas.openxmlformats.org/drawingml/2006/picture">
                <pic:pic>
                  <pic:nvPicPr>
                    <pic:cNvPr id="0" name="academy-story-ai-7-29-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Figures make </w:t>
      </w:r>
      <w:r>
        <w:rPr>
          <w:b/>
        </w:rPr>
        <w:t>evidence</w:t>
      </w:r>
      <w:r>
        <w:rPr>
          <w:b w:val="0"/>
        </w:rPr>
        <w:t xml:space="preserve"> easier to inspect when labels and scales preserve meaning. A dramatic-looking visual cannot supply missing uncertainty or representativeness.</w:t>
      </w:r>
    </w:p>
    <w:p>
      <w:pPr>
        <w:spacing w:line="336" w:lineRule="auto" w:after="180"/>
      </w:pPr>
      <w:r>
        <w:rPr>
          <w:b w:val="0"/>
        </w:rPr>
        <w:t>Limit: A well-labelled chart still cannot establish a causal or population claim from ten cases.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Draw count bars for 6/10 and 8/10 using the stated axis. Why must the denominator and fixed task context remain visible, and what distortion arises from an undisclosed axis start at five?"/>
            <wp:cNvGraphicFramePr>
              <a:graphicFrameLocks noChangeAspect="1"/>
            </wp:cNvGraphicFramePr>
            <a:graphic>
              <a:graphicData uri="http://schemas.openxmlformats.org/drawingml/2006/picture">
                <pic:pic>
                  <pic:nvPicPr>
                    <pic:cNvPr id="0" name="academy-story-ai-7-29-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Draw count bars for 6/10 and 8/10 using the stated axis.</w:t>
      </w:r>
    </w:p>
    <w:p>
      <w:pPr>
        <w:spacing w:line="336" w:lineRule="auto" w:after="180"/>
      </w:pPr>
      <w:r>
        <w:rPr>
          <w:b w:val="0"/>
        </w:rPr>
        <w:t>Why must the denominator and fixed task context remain visible, and what distortion arises from an undisclosed axis start at five?</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Figures that preserve evidence: the case</w:t>
      </w:r>
    </w:p>
    <w:p>
      <w:pPr>
        <w:pStyle w:val="Heading3"/>
      </w:pPr>
      <w:r>
        <w:t>02. Follow the deciding steps</w:t>
      </w:r>
    </w:p>
    <w:p>
      <w:pPr>
        <w:pStyle w:val="Heading3"/>
      </w:pPr>
      <w:r>
        <w:t>03. Zero-based correct counts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