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ai-7/30</w:t>
      </w:r>
    </w:p>
    <w:p>
      <w:pPr>
        <w:pStyle w:val="Title"/>
      </w:pPr>
      <w:r>
        <w:t>Writing the methods section</w:t>
      </w:r>
    </w:p>
    <w:p>
      <w:r>
        <w:t>Project: Reproducible AI Research Study</w:t>
      </w:r>
    </w:p>
    <w:p>
      <w:pPr>
        <w:pStyle w:val="Heading1"/>
      </w:pPr>
      <w:r>
        <w:t>One complete research-case evidence record.</w:t>
      </w:r>
    </w:p>
    <w:p>
      <w:r>
        <w:t>Specify exact inputs, boundaries, data roles and versions while keeping unassessed design details explicit.</w:t>
      </w:r>
    </w:p>
    <w:p>
      <w:r>
        <w:t>Recall → W1–W3/W5 → independent case → project evidence → feedback and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Figures that preserve evidence</w:t>
      </w:r>
    </w:p>
    <w:p>
      <w:pPr>
        <w:pStyle w:val="ListBullet"/>
      </w:pPr>
      <w:r>
        <w:t>Without opening the old lesson, explain one key idea from Figures that preserve evidence.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Robustness across conditions</w:t>
      </w:r>
    </w:p>
    <w:p>
      <w:pPr>
        <w:pStyle w:val="ListBullet"/>
      </w:pPr>
      <w:r>
        <w:t>Without opening the old lesson, explain one key idea from Robustness across conditions.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Reproducible environment and records</w:t>
      </w:r>
    </w:p>
    <w:p>
      <w:pPr>
        <w:pStyle w:val="ListBullet"/>
      </w:pPr>
      <w:r>
        <w:t>Without opening the old lesson, explain one key idea from Reproducible environment and records.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current example</w:t>
      </w:r>
    </w:p>
    <w:p>
      <w:r>
        <w:t>Keep this task’s inputs,rule and response together.</w:t>
      </w:r>
    </w:p>
    <w:p>
      <w:pPr>
        <w:pStyle w:val="Heading2"/>
      </w:pPr>
      <w:r>
        <w:t>Complete task and evidence</w:t>
      </w:r>
    </w:p>
    <w:p>
      <w:pPr>
        <w:pStyle w:val="ListBullet"/>
      </w:pPr>
      <w:r>
        <w:t>A methods section records question, units, sampling, permissions, data roles, baseline, procedure and preprocessing, metric, uncertainty assumptions, missing/exclusion handling, versions and deviations. Main report saying used AI on data and got good scores omits evidence needed to reconstruct the design and computation. Do not fabricate missing model or split information. Separate deterministic toy method applies Python string length to exact ASCII inputs oak, pine, willow without trimming. Counts three, four, six yield short/long/long under length at least four. A strictly-greater-than-four change yields short/short/long; pine is the boundary case. A trailing space changes oak to four characters because trimming is not part of the method. These are arbitrary string labels, not ecological categories or learned-model results. Reproducible toy output does not validate scientific sampling. Near-duplicate source grouping and split allocation must be documented; filenames alone do not establish source independence.</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worked case</w:t>
      </w:r>
    </w:p>
    <w:p>
      <w:r>
        <w:t>Keep the supplied inputs, comparison rule and evidence together.</w:t>
      </w:r>
    </w:p>
    <w:p>
      <w:pPr>
        <w:pStyle w:val="Heading2"/>
      </w:pPr>
      <w:r>
        <w:t>Complete task and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report omission</w:t>
            </w:r>
          </w:p>
        </w:tc>
        <w:tc>
          <w:tcPr>
            <w:tcW w:type="dxa" w:w="3408"/>
          </w:tcPr>
          <w:p>
            <w:r>
              <w:t>Why it affects assessment</w:t>
            </w:r>
          </w:p>
        </w:tc>
        <w:tc>
          <w:tcPr>
            <w:tcW w:type="dxa" w:w="3408"/>
          </w:tcPr>
          <w:p>
            <w:r>
              <w:t>What the audit should request</w:t>
            </w:r>
          </w:p>
        </w:tc>
      </w:tr>
      <w:tr>
        <w:tc>
          <w:tcPr>
            <w:tcW w:type="dxa" w:w="3408"/>
          </w:tcPr>
          <w:p>
            <w:r>
              <w:t>Model/procedure version</w:t>
            </w:r>
          </w:p>
        </w:tc>
        <w:tc>
          <w:tcPr>
            <w:tcW w:type="dxa" w:w="3408"/>
          </w:tcPr>
          <w:p>
            <w:r>
              <w:t>Which system produced the result is unknown</w:t>
            </w:r>
          </w:p>
        </w:tc>
        <w:tc>
          <w:tcPr>
            <w:tcW w:type="dxa" w:w="3408"/>
          </w:tcPr>
          <w:p>
            <w:r>
              <w:t>Exact version/configuration and code</w:t>
            </w:r>
          </w:p>
        </w:tc>
      </w:tr>
      <w:tr>
        <w:tc>
          <w:tcPr>
            <w:tcW w:type="dxa" w:w="3408"/>
          </w:tcPr>
          <w:p>
            <w:r>
              <w:t>Data identity and split</w:t>
            </w:r>
          </w:p>
        </w:tc>
        <w:tc>
          <w:tcPr>
            <w:tcW w:type="dxa" w:w="3408"/>
          </w:tcPr>
          <w:p>
            <w:r>
              <w:t>Cases, roles and source overlap unknown</w:t>
            </w:r>
          </w:p>
        </w:tc>
        <w:tc>
          <w:tcPr>
            <w:tcW w:type="dxa" w:w="3408"/>
          </w:tcPr>
          <w:p>
            <w:r>
              <w:t>Identifiers, eligibility and grouping/split rule</w:t>
            </w:r>
          </w:p>
        </w:tc>
      </w:tr>
      <w:tr>
        <w:tc>
          <w:tcPr>
            <w:tcW w:type="dxa" w:w="3408"/>
          </w:tcPr>
          <w:p>
            <w:r>
              <w:t>Baseline</w:t>
            </w:r>
          </w:p>
        </w:tc>
        <w:tc>
          <w:tcPr>
            <w:tcW w:type="dxa" w:w="3408"/>
          </w:tcPr>
          <w:p>
            <w:r>
              <w:t>Comparison target unknown</w:t>
            </w:r>
          </w:p>
        </w:tc>
        <w:tc>
          <w:tcPr>
            <w:tcW w:type="dxa" w:w="3408"/>
          </w:tcPr>
          <w:p>
            <w:r>
              <w:t>Baseline procedure and matched conditions</w:t>
            </w:r>
          </w:p>
        </w:tc>
      </w:tr>
      <w:tr>
        <w:tc>
          <w:tcPr>
            <w:tcW w:type="dxa" w:w="3408"/>
          </w:tcPr>
          <w:p>
            <w:r>
              <w:t>Metric and scoring</w:t>
            </w:r>
          </w:p>
        </w:tc>
        <w:tc>
          <w:tcPr>
            <w:tcW w:type="dxa" w:w="3408"/>
          </w:tcPr>
          <w:p>
            <w:r>
              <w:t>Good scores has no defined denominator/rubric</w:t>
            </w:r>
          </w:p>
        </w:tc>
        <w:tc>
          <w:tcPr>
            <w:tcW w:type="dxa" w:w="3408"/>
          </w:tcPr>
          <w:p>
            <w:r>
              <w:t>Explicit outcome, calculation and raw counts</w:t>
            </w:r>
          </w:p>
        </w:tc>
      </w:tr>
      <w:tr>
        <w:tc>
          <w:tcPr>
            <w:tcW w:type="dxa" w:w="3408"/>
          </w:tcPr>
          <w:p>
            <w:r>
              <w:t>Missing/exclusion handling</w:t>
            </w:r>
          </w:p>
        </w:tc>
        <w:tc>
          <w:tcPr>
            <w:tcW w:type="dxa" w:w="3408"/>
          </w:tcPr>
          <w:p>
            <w:r>
              <w:t>Reported cases may be selected</w:t>
            </w:r>
          </w:p>
        </w:tc>
        <w:tc>
          <w:tcPr>
            <w:tcW w:type="dxa" w:w="3408"/>
          </w:tcPr>
          <w:p>
            <w:r>
              <w:t>Rules, excluded/unassessed counts and deviations</w:t>
            </w:r>
          </w:p>
        </w:tc>
      </w:tr>
      <w:tr>
        <w:tc>
          <w:tcPr>
            <w:tcW w:type="dxa" w:w="3408"/>
          </w:tcPr>
          <w:p>
            <w:r>
              <w:t>Validity conclusion</w:t>
            </w:r>
          </w:p>
        </w:tc>
        <w:tc>
          <w:tcPr>
            <w:tcW w:type="dxa" w:w="3408"/>
          </w:tcPr>
          <w:p>
            <w:r>
              <w:t>Cannot assess from this description</w:t>
            </w:r>
          </w:p>
        </w:tc>
        <w:tc>
          <w:tcPr>
            <w:tcW w:type="dxa" w:w="3408"/>
          </w:tcPr>
          <w:p>
            <w:r>
              <w:t>Record missing evidence rather than fabricate a complete method</w:t>
            </w:r>
          </w:p>
        </w:tc>
      </w:tr>
    </w:tbl>
    <w:p>
      <w:pPr>
        <w:pStyle w:val="ListBullet"/>
      </w:pPr>
      <w:r>
        <w:t>A methods section records question, units, sampling, permissions, data roles, baseline, procedure and preprocessing, metric, uncertainty assumptions, missing/exclusion handling, versions and deviations. Main report saying used AI on data and got good scores omits evidence needed to reconstruct the design and computation. Do not fabricate missing model or split information. Separate deterministic toy method applies Python string length to exact ASCII inputs oak, pine, willow without trimming. Counts three, four, six yield short/long/long under length at least four. A strictly-greater-than-four change yields short/short/long; pine is the boundary case. A trailing space changes oak to four characters because trimming is not part of the method. These are arbitrary string labels, not ecological categories or learned-model results. Reproducible toy output does not validate scientific sampling. Near-duplicate source grouping and split allocation must be documented; filenames alone do not establish source independence.</w:t>
      </w:r>
    </w:p>
    <w:p>
      <w:pPr>
        <w:pStyle w:val="ListBullet"/>
      </w:pPr>
      <w:r>
        <w:t>Methods says used AI on data and got good scores; code and split are absent.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A methods section records question, units, sampling, permissions, data roles, baseline, procedure and preprocessing, metric, uncertainty assumptions, missing/exclusion handling, versions and deviations. Main report saying used AI on data and got good scores omits evidence needed to reconstruct the design and computation. Do not fabricate missing model or split information. Separate deterministic toy method applies Python string length to exact ASCII inputs oak, pine, willow without trimming. Counts three, four, six yield short/long/long under length at least four. A strictly-greater-than-four change yields short/short/long; pine is the boundary case. A trailing space changes oak to four characters because trimming is not part of the method. These are arbitrary string labels, not ecological categories or learned-model results. Reproducible toy output does not validate scientific sampling. Near-duplicate source grouping and split allocation must be documented; filenames alone do not establish source independence.</w:t>
      </w:r>
    </w:p>
    <w:p>
      <w:pPr>
        <w:pStyle w:val="ListBullet"/>
      </w:pPr>
      <w:r>
        <w:t>A report omits this qualification: A detailed methods section can reveal limitations; it does not guarantee a correct design.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A methods section records question, units, sampling, permissions, data roles, baseline, procedure and preprocessing, metric, uncertainty assumptions, missing/exclusion handling, versions and deviations. Main report saying used AI on data and got good scores omits evidence needed to reconstruct the design and computation. Do not fabricate missing model or split information. Separate deterministic toy method applies Python string length to exact ASCII inputs oak, pine, willow without trimming. Counts three, four, six yield short/long/long under length at least four. A strictly-greater-than-four change yields short/short/long; pine is the boundary case. A trailing space changes oak to four characters because trimming is not part of the method. These are arbitrary string labels, not ecological categories or learned-model results. Reproducible toy output does not validate scientific sampling. Near-duplicate source grouping and split allocation must be documented; filenames alone do not establish source independence.</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Methods names a dataset and metric, but not whether near-duplicate sources cross the split. What detail matters?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research evidence</w:t>
      </w:r>
    </w:p>
    <w:p>
      <w:r>
        <w:t>Preserve the question, protocol, observations, analysis and limits.</w:t>
      </w:r>
    </w:p>
    <w:p>
      <w:pPr>
        <w:pStyle w:val="Heading2"/>
      </w:pPr>
      <w:r>
        <w:t>Complete task and evidence</w:t>
      </w:r>
    </w:p>
    <w:p>
      <w:pPr>
        <w:pStyle w:val="ListBullet"/>
      </w:pPr>
      <w:r>
        <w:t>Add a labelled writing the methods section evidence sheet to Reproducible AI Research Study. Show how you can explain the mechanism and terminology of writing the methods section.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Writing the methods section.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Writing the methods section.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Methods names a dataset and metric, but not whether near-duplicate sources cross the split. What detail matters?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r>
        <w:drawing>
          <wp:inline xmlns:a="http://schemas.openxmlformats.org/drawingml/2006/main" xmlns:pic="http://schemas.openxmlformats.org/drawingml/2006/picture">
            <wp:extent cx="5486400" cy="2992582"/>
            <wp:docPr id="1" name="Picture 1" descr="Exact strings oak, pine and willow have three, four and six characters. Under length at least four the labels are short, long, long. Under greater than four only pine changes to short. No whitespace trimming is performed."/>
            <wp:cNvGraphicFramePr>
              <a:graphicFrameLocks noChangeAspect="1"/>
            </wp:cNvGraphicFramePr>
            <a:graphic>
              <a:graphicData uri="http://schemas.openxmlformats.org/drawingml/2006/picture">
                <pic:pic>
                  <pic:nvPicPr>
                    <pic:cNvPr id="0" name="ai-7-30-method-boundary.png"/>
                    <pic:cNvPicPr/>
                  </pic:nvPicPr>
                  <pic:blipFill>
                    <a:blip r:embed="rId9"/>
                    <a:stretch>
                      <a:fillRect/>
                    </a:stretch>
                  </pic:blipFill>
                  <pic:spPr>
                    <a:xfrm>
                      <a:off x="0" y="0"/>
                      <a:ext cx="5486400" cy="2992582"/>
                    </a:xfrm>
                    <a:prstGeom prst="rect"/>
                  </pic:spPr>
                </pic:pic>
              </a:graphicData>
            </a:graphic>
          </wp:inline>
        </w:drawing>
      </w:r>
    </w:p>
    <w:p>
      <w:pPr>
        <w:pStyle w:val="ListBullet"/>
      </w:pPr>
      <w:r>
        <w:t>Methods that another team can repeat. A paper describes a toy string-classification experiment using a stated length rule.</w:t>
      </w:r>
    </w:p>
    <w:p>
      <w:pPr>
        <w:pStyle w:val="ListBullet"/>
      </w:pPr>
      <w:r>
        <w:t>Inputs: "oak", "pine", "willow". Rule: length at least 4→long, otherwise short. No whitespace trimming occurs.</w:t>
      </w:r>
    </w:p>
    <w:p>
      <w:r>
        <w:drawing>
          <wp:inline xmlns:a="http://schemas.openxmlformats.org/drawingml/2006/main" xmlns:pic="http://schemas.openxmlformats.org/drawingml/2006/picture">
            <wp:extent cx="5486400" cy="5145314"/>
            <wp:docPr id="2" name="Picture 2" descr="Writing the methods section. Record exact inputs: Preserve the three strings and no-trimming policy.. State procedure: Apply the inclusive length boundary at four characters.. Show resulting labels: Oak is short; pine and willow are long."/>
            <wp:cNvGraphicFramePr>
              <a:graphicFrameLocks noChangeAspect="1"/>
            </wp:cNvGraphicFramePr>
            <a:graphic>
              <a:graphicData uri="http://schemas.openxmlformats.org/drawingml/2006/picture">
                <pic:pic>
                  <pic:nvPicPr>
                    <pic:cNvPr id="0" name="academy-visual-ai-7-30.png"/>
                    <pic:cNvPicPr/>
                  </pic:nvPicPr>
                  <pic:blipFill>
                    <a:blip r:embed="rId10"/>
                    <a:stretch>
                      <a:fillRect/>
                    </a:stretch>
                  </pic:blipFill>
                  <pic:spPr>
                    <a:xfrm>
                      <a:off x="0" y="0"/>
                      <a:ext cx="5486400" cy="5145314"/>
                    </a:xfrm>
                    <a:prstGeom prst="rect"/>
                  </pic:spPr>
                </pic:pic>
              </a:graphicData>
            </a:graphic>
          </wp:inline>
        </w:drawing>
      </w:r>
    </w:p>
    <w:p>
      <w:pPr>
        <w:pStyle w:val="ListBullet"/>
      </w:pPr>
      <w:r>
        <w:t>Apply the inclusive four-character rule to oak, pine and willow. Which label changes under greater-than-four, and what method detail allows another team to reproduce the distinction?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Reference · Project milestone</w:t>
      </w:r>
    </w:p>
    <w:p>
      <w:r>
        <w:t>Keep this task’s inputs,rule and response together.</w:t>
      </w:r>
    </w:p>
    <w:p>
      <w:pPr>
        <w:pStyle w:val="Heading2"/>
      </w:pPr>
      <w:r>
        <w:t>Complete task and evidence</w:t>
      </w:r>
    </w:p>
    <w:p>
      <w:pPr>
        <w:pStyle w:val="ListBullet"/>
      </w:pPr>
      <w:r>
        <w:t>Project: Reproducible AI Research Study</w:t>
      </w:r>
    </w:p>
    <w:p>
      <w:pPr>
        <w:pStyle w:val="ListBullet"/>
      </w:pPr>
      <w:r>
        <w:t>Current milestone: Prepare the demonstration. Gather reproducible instructions, evidence, access checks and remaining limitations.</w:t>
      </w:r>
    </w:p>
    <w:p>
      <w:pPr>
        <w:pStyle w:val="ListBullet"/>
      </w:pPr>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Methods that another team can repeat. A paper describes a toy string-classification experiment using a stated length rule.</w:t>
      </w:r>
    </w:p>
    <w:p>
      <w:pPr>
        <w:pStyle w:val="Heading3"/>
      </w:pPr>
      <w:r>
        <w:t>Practice 1: explain the deciding evidence</w:t>
      </w:r>
    </w:p>
    <w:p>
      <w:pPr>
        <w:pStyle w:val="ListBullet"/>
      </w:pPr>
      <w:r>
        <w:t>Which labelled step matches this detail? Oak is short; pine and willow are long.</w:t>
      </w:r>
    </w:p>
    <w:p>
      <w:pPr>
        <w:pStyle w:val="ListBullet"/>
      </w:pPr>
      <w:r>
        <w:t>1. State procedure</w:t>
      </w:r>
    </w:p>
    <w:p>
      <w:pPr>
        <w:pStyle w:val="ListBullet"/>
      </w:pPr>
      <w:r>
        <w:t>2. Record exact inputs</w:t>
      </w:r>
    </w:p>
    <w:p>
      <w:pPr>
        <w:pStyle w:val="ListBullet"/>
      </w:pPr>
      <w:r>
        <w:t>3. Show resulting labels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Show resulting labels Oak is short; pine and willow are long. A </w:t>
      </w:r>
      <w:r>
        <w:rPr>
          <w:b/>
        </w:rPr>
        <w:t>methods section</w:t>
      </w:r>
      <w:r>
        <w:rPr>
          <w:b w:val="0"/>
        </w:rPr>
        <w:t xml:space="preserve"> specifies </w:t>
      </w:r>
      <w:r>
        <w:rPr>
          <w:b/>
        </w:rPr>
        <w:t>input</w:t>
      </w:r>
      <w:r>
        <w:rPr>
          <w:b w:val="0"/>
        </w:rPr>
        <w:t xml:space="preserve">s, </w:t>
      </w:r>
      <w:r>
        <w:rPr>
          <w:b/>
        </w:rPr>
        <w:t>process</w:t>
      </w:r>
      <w:r>
        <w:rPr>
          <w:b w:val="0"/>
        </w:rPr>
        <w:t>ing, boundaries, versions and scoring.</w:t>
      </w:r>
    </w:p>
    <w:p>
      <w:pPr>
        <w:spacing w:line="336" w:lineRule="auto" w:after="180"/>
      </w:pPr>
      <w:r>
        <w:rPr>
          <w:b w:val="0"/>
        </w:rPr>
        <w:t>Precise procedures allow a reader to repeat the computation instead of inferring it from the final labels.</w:t>
      </w:r>
    </w:p>
    <w:p>
      <w:pPr>
        <w:pStyle w:val="Heading2"/>
      </w:pPr>
      <w:r>
        <w:t>Changed-case question and optional hint</w:t>
      </w:r>
    </w:p>
    <w:p>
      <w:pPr>
        <w:pStyle w:val="Heading3"/>
      </w:pPr>
      <w:r>
        <w:t>Practice 2: explain the deciding evidence</w:t>
      </w:r>
    </w:p>
    <w:p>
      <w:pPr>
        <w:pStyle w:val="ListBullet"/>
      </w:pPr>
      <w:r>
        <w:t>Changed-case practice: Change the rule to length greater than 4. Which conclusion is supported by the supplied facts?</w:t>
      </w:r>
    </w:p>
    <w:p>
      <w:pPr>
        <w:pStyle w:val="ListBullet"/>
      </w:pPr>
      <w:r>
        <w:t>1. We can decide the result without examining the changed input or the procedure.</w:t>
      </w:r>
    </w:p>
    <w:p>
      <w:pPr>
        <w:pStyle w:val="ListBullet"/>
      </w:pPr>
      <w:r>
        <w:t>2. Pine becomes short; willow stays long and oak stays short.</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Pine becomes short; willow stays long and oak stays short. The equality case distinguishes the two procedures.</w:t>
      </w:r>
    </w:p>
    <w:p>
      <w:pPr>
        <w:pStyle w:val="Heading2"/>
      </w:pPr>
      <w:r>
        <w:t>Repair and retain the record</w:t>
      </w:r>
    </w:p>
    <w:p>
      <w:pPr>
        <w:spacing w:line="336" w:lineRule="auto" w:after="180"/>
      </w:pPr>
      <w:r>
        <w:rPr>
          <w:b w:val="0"/>
        </w:rPr>
        <w:t xml:space="preserve">Review Figures that preserve </w:t>
      </w:r>
      <w:r>
        <w:rPr>
          <w:b/>
        </w:rPr>
        <w:t>evidence</w:t>
      </w:r>
      <w:r>
        <w:rPr>
          <w:b w:val="0"/>
        </w:rPr>
        <w:t xml:space="preserve"> (ai-7/29). Goal: Explain the </w:t>
      </w:r>
      <w:r>
        <w:rPr>
          <w:b/>
        </w:rPr>
        <w:t>mechanism</w:t>
      </w:r>
      <w:r>
        <w:rPr>
          <w:b w:val="0"/>
        </w:rPr>
        <w:t xml:space="preserve"> and terminology of figures that preserve </w:t>
      </w:r>
      <w:r>
        <w:rPr>
          <w:b/>
        </w:rPr>
        <w:t>evidence</w:t>
      </w:r>
      <w:r>
        <w:rPr>
          <w:b w:val="0"/>
        </w:rPr>
        <w:t>. Short practice: Draw count bars for 6/10 and 8/10 using the stated axis.</w:t>
      </w:r>
    </w:p>
    <w:p>
      <w:pPr>
        <w:spacing w:line="336" w:lineRule="auto" w:after="180"/>
      </w:pPr>
      <w:r>
        <w:rPr>
          <w:b w:val="0"/>
        </w:rPr>
        <w:t>Why must the denominator and fixed task context remain visible, and what distortion arises from an undisclosed axis start at five?. Return to this week and explain what you changed.</w:t>
      </w:r>
    </w:p>
    <w:p>
      <w:pPr>
        <w:spacing w:line="336" w:lineRule="auto" w:after="180"/>
      </w:pPr>
      <w:r>
        <w:rPr>
          <w:b w:val="0"/>
        </w:rPr>
        <w:t xml:space="preserve">Review Robustness across conditions (ai-7/27). Goal: Explain the </w:t>
      </w:r>
      <w:r>
        <w:rPr>
          <w:b/>
        </w:rPr>
        <w:t>mechanism</w:t>
      </w:r>
      <w:r>
        <w:rPr>
          <w:b w:val="0"/>
        </w:rPr>
        <w:t xml:space="preserve"> and terminology of robustness across conditions. Short practice: Calculate indoor, outdoor and combined rates.</w:t>
      </w:r>
    </w:p>
    <w:p>
      <w:pPr>
        <w:spacing w:line="336" w:lineRule="auto" w:after="180"/>
      </w:pPr>
      <w:r>
        <w:rPr>
          <w:b w:val="0"/>
        </w:rPr>
        <w:t>Which relevant weakness disappears from view when only the combined rate is reported?. Return to this week and explain what you changed.</w:t>
      </w:r>
    </w:p>
    <w:p>
      <w:pPr>
        <w:spacing w:line="336" w:lineRule="auto" w:after="180"/>
      </w:pPr>
      <w:r>
        <w:rPr>
          <w:b w:val="0"/>
        </w:rPr>
        <w:t xml:space="preserve">Review Reproducible environment and records (ai-7/24). Goal: Explain the </w:t>
      </w:r>
      <w:r>
        <w:rPr>
          <w:b/>
        </w:rPr>
        <w:t>mechanism</w:t>
      </w:r>
      <w:r>
        <w:rPr>
          <w:b w:val="0"/>
        </w:rPr>
        <w:t xml:space="preserve"> and terminology of reproducible environment and records. Short practice: Trace the recorded mean for 2,4,6 and its changed result for 2,4,9.</w:t>
      </w:r>
    </w:p>
    <w:p>
      <w:pPr>
        <w:spacing w:line="336" w:lineRule="auto" w:after="180"/>
      </w:pPr>
      <w:r>
        <w:rPr>
          <w:b w:val="0"/>
        </w:rPr>
        <w:t xml:space="preserve">Which artefacts must accompany the </w:t>
      </w:r>
      <w:r>
        <w:rPr>
          <w:b/>
        </w:rPr>
        <w:t>output</w:t>
      </w:r>
      <w:r>
        <w:rPr>
          <w:b w:val="0"/>
        </w:rPr>
        <w:t xml:space="preserve"> so another team can identify the exact run?.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Writing the methods section: the case</w:t>
      </w:r>
    </w:p>
    <w:p>
      <w:r>
        <w:drawing>
          <wp:inline xmlns:a="http://schemas.openxmlformats.org/drawingml/2006/main" xmlns:pic="http://schemas.openxmlformats.org/drawingml/2006/picture">
            <wp:extent cx="5486400" cy="2834640"/>
            <wp:docPr id="3" name="Picture 3" descr="Methods that another team can repeat. A paper describes a toy string-classification experiment using a stated length rule. Supplied facts: Inputs: &quot;oak&quot;, &quot;pine&quot;, &quot;willow&quot;. Rule: length at least 4→long, otherwise short. No whitespace trimming occurs."/>
            <wp:cNvGraphicFramePr>
              <a:graphicFrameLocks noChangeAspect="1"/>
            </wp:cNvGraphicFramePr>
            <a:graphic>
              <a:graphicData uri="http://schemas.openxmlformats.org/drawingml/2006/picture">
                <pic:pic>
                  <pic:nvPicPr>
                    <pic:cNvPr id="0" name="academy-story-ai-7-30-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Methods that another team can repeat. A paper describes a toy string-classification experiment using a stated length rule. Supplied facts: </w:t>
      </w:r>
      <w:r>
        <w:rPr>
          <w:b/>
        </w:rPr>
        <w:t>Input</w:t>
      </w:r>
      <w:r>
        <w:rPr>
          <w:b w:val="0"/>
        </w:rPr>
        <w:t>s: "oak", "pine", "willow". Rule: length at least 4→long, otherwise short.</w:t>
      </w:r>
    </w:p>
    <w:p>
      <w:pPr>
        <w:spacing w:line="336" w:lineRule="auto" w:after="180"/>
      </w:pPr>
      <w:r>
        <w:rPr>
          <w:b w:val="0"/>
        </w:rPr>
        <w:t>No whitespace trimming occurs.</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Record exact inputs: Preserve the three strings and no-trimming policy. → State procedure: Apply the inclusive length boundary at four characters. → Show resulting labels: Oak is short; pine and willow are long."/>
            <wp:cNvGraphicFramePr>
              <a:graphicFrameLocks noChangeAspect="1"/>
            </wp:cNvGraphicFramePr>
            <a:graphic>
              <a:graphicData uri="http://schemas.openxmlformats.org/drawingml/2006/picture">
                <pic:pic>
                  <pic:nvPicPr>
                    <pic:cNvPr id="0" name="academy-story-ai-7-30-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Record exact </w:t>
      </w:r>
      <w:r>
        <w:rPr>
          <w:b/>
        </w:rPr>
        <w:t>input</w:t>
      </w:r>
      <w:r>
        <w:rPr>
          <w:b w:val="0"/>
        </w:rPr>
        <w:t>s: Preserve the three strings and no-trimming policy. → State procedure: Apply the inclusive length boundary at four characters. → Show resulting labels: Oak is short; pine and willow are long.</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Writing the methods section — evidence trace</w:t>
      </w:r>
    </w:p>
    <w:p>
      <w:r>
        <w:drawing>
          <wp:inline xmlns:a="http://schemas.openxmlformats.org/drawingml/2006/main" xmlns:pic="http://schemas.openxmlformats.org/drawingml/2006/picture">
            <wp:extent cx="5486400" cy="3145536"/>
            <wp:docPr id="5" name="Picture 5" descr="Writing the methods section — evidence trace. Methods says used AI on data and got good scores; code and split are absent. | Report question, units, sampling, permissions, data roles, baseline, procedure, metrics, uncertainty assumptions, missing/exclusion handling and versions. Distinguish prespecified and later changes. | It omits model/procedure version, data identity, units/splits, baseline, metric and scoring. Reproduction and validity cannot be assessed from the description."/>
            <wp:cNvGraphicFramePr>
              <a:graphicFrameLocks noChangeAspect="1"/>
            </wp:cNvGraphicFramePr>
            <a:graphic>
              <a:graphicData uri="http://schemas.openxmlformats.org/drawingml/2006/picture">
                <pic:pic>
                  <pic:nvPicPr>
                    <pic:cNvPr id="0" name="academy-story-ai-7-30-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val="0"/>
        </w:rPr>
        <w:t xml:space="preserve">Writing the </w:t>
      </w:r>
      <w:r>
        <w:rPr>
          <w:b/>
        </w:rPr>
        <w:t>methods section</w:t>
      </w:r>
      <w:r>
        <w:rPr>
          <w:b w:val="0"/>
        </w:rPr>
        <w:t xml:space="preserve"> — </w:t>
      </w:r>
      <w:r>
        <w:rPr>
          <w:b/>
        </w:rPr>
        <w:t>evidence</w:t>
      </w:r>
      <w:r>
        <w:rPr>
          <w:b w:val="0"/>
        </w:rPr>
        <w:t xml:space="preserve"> trace.</w:t>
      </w:r>
    </w:p>
    <w:p>
      <w:pPr>
        <w:spacing w:line="336" w:lineRule="auto" w:after="180"/>
      </w:pPr>
      <w:r>
        <w:rPr>
          <w:b w:val="0"/>
        </w:rPr>
        <w:t>Methods says used AI on data and got good scores; code and split are absent. | Report question, units, sampling, permissions, data roles, baseline, procedure, metrics, uncertainty assumptions, missing/exclusion handling and versions.</w:t>
      </w:r>
    </w:p>
    <w:p>
      <w:pPr>
        <w:spacing w:line="336" w:lineRule="auto" w:after="180"/>
      </w:pPr>
      <w:r>
        <w:rPr>
          <w:b w:val="0"/>
        </w:rPr>
        <w:t>Distinguish prespecified and later changes. | It omits model/procedure version, data identity, units/splits, baseline, metric and scoring. Reproduction and validity cannot be assessed from the description.</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Oak is short; pine and willow are long. Changed condition: Change the rule to length greater than 4. Expected result: Pine becomes short; willow stays long and oak stays short. Reason: The equality case distinguishes the two procedures."/>
            <wp:cNvGraphicFramePr>
              <a:graphicFrameLocks noChangeAspect="1"/>
            </wp:cNvGraphicFramePr>
            <a:graphic>
              <a:graphicData uri="http://schemas.openxmlformats.org/drawingml/2006/picture">
                <pic:pic>
                  <pic:nvPicPr>
                    <pic:cNvPr id="0" name="academy-story-ai-7-30-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Oak is short; pine and willow are long. Changed condition: Change the rule to length greater than 4. Expected result: Pine becomes short; willow stays long and oak stays short.</w:t>
      </w:r>
    </w:p>
    <w:p>
      <w:pPr>
        <w:spacing w:line="336" w:lineRule="auto" w:after="180"/>
      </w:pPr>
      <w:r>
        <w:rPr>
          <w:b w:val="0"/>
        </w:rPr>
        <w:t>Reason: The equality case distinguishes the two procedures.</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methods section specifies inputs, processing, boundaries, versions and scoring. Precise procedures allow a reader to repeat the computation instead of inferring it from the final labels. Limit: Repeating this deterministic toy rule does not validate a learned model or establish ecological categories."/>
            <wp:cNvGraphicFramePr>
              <a:graphicFrameLocks noChangeAspect="1"/>
            </wp:cNvGraphicFramePr>
            <a:graphic>
              <a:graphicData uri="http://schemas.openxmlformats.org/drawingml/2006/picture">
                <pic:pic>
                  <pic:nvPicPr>
                    <pic:cNvPr id="0" name="academy-story-ai-7-3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methods section</w:t>
      </w:r>
      <w:r>
        <w:rPr>
          <w:b w:val="0"/>
        </w:rPr>
        <w:t xml:space="preserve"> specifies </w:t>
      </w:r>
      <w:r>
        <w:rPr>
          <w:b/>
        </w:rPr>
        <w:t>input</w:t>
      </w:r>
      <w:r>
        <w:rPr>
          <w:b w:val="0"/>
        </w:rPr>
        <w:t xml:space="preserve">s, </w:t>
      </w:r>
      <w:r>
        <w:rPr>
          <w:b/>
        </w:rPr>
        <w:t>process</w:t>
      </w:r>
      <w:r>
        <w:rPr>
          <w:b w:val="0"/>
        </w:rPr>
        <w:t>ing, boundaries, versions and scoring. Precise procedures allow a reader to repeat the computation instead of inferring it from the final labels.</w:t>
      </w:r>
    </w:p>
    <w:p>
      <w:pPr>
        <w:spacing w:line="336" w:lineRule="auto" w:after="180"/>
      </w:pPr>
      <w:r>
        <w:rPr>
          <w:b w:val="0"/>
        </w:rPr>
        <w:t xml:space="preserve">Limit: Repeating this deterministic toy rule does not validate a </w:t>
      </w:r>
      <w:r>
        <w:rPr>
          <w:b/>
        </w:rPr>
        <w:t>learned model</w:t>
      </w:r>
      <w:r>
        <w:rPr>
          <w:b w:val="0"/>
        </w:rPr>
        <w:t xml:space="preserve"> or establish ecological categories.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Apply the inclusive four-character rule to oak, pine and willow. Which label changes under greater-than-four, and what method detail allows another team to reproduce the distinction?"/>
            <wp:cNvGraphicFramePr>
              <a:graphicFrameLocks noChangeAspect="1"/>
            </wp:cNvGraphicFramePr>
            <a:graphic>
              <a:graphicData uri="http://schemas.openxmlformats.org/drawingml/2006/picture">
                <pic:pic>
                  <pic:nvPicPr>
                    <pic:cNvPr id="0" name="academy-story-ai-7-30-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Apply the inclusive four-character rule to oak, pine and willow.</w:t>
      </w:r>
    </w:p>
    <w:p>
      <w:pPr>
        <w:spacing w:line="336" w:lineRule="auto" w:after="180"/>
      </w:pPr>
      <w:r>
        <w:rPr>
          <w:b w:val="0"/>
        </w:rPr>
        <w:t>Which label changes under greater-than-four, and what method detail allows another team to reproduce the distinction?</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Writing the methods section: the case</w:t>
      </w:r>
    </w:p>
    <w:p>
      <w:pPr>
        <w:pStyle w:val="Heading3"/>
      </w:pPr>
      <w:r>
        <w:t>02. Follow the deciding steps</w:t>
      </w:r>
    </w:p>
    <w:p>
      <w:pPr>
        <w:pStyle w:val="Heading3"/>
      </w:pPr>
      <w:r>
        <w:t>03. Writing the methods section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