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ai-6/18</w:t>
      </w:r>
    </w:p>
    <w:p>
      <w:pPr>
        <w:pStyle w:val="Title"/>
      </w:pPr>
      <w:r>
        <w:t>Untrusted input boundaries</w:t>
      </w:r>
    </w:p>
    <w:p>
      <w:r>
        <w:t>Project: Grounded Learning Service</w:t>
      </w:r>
    </w:p>
    <w:p>
      <w:pPr>
        <w:pStyle w:val="Heading1"/>
      </w:pPr>
      <w:r>
        <w:t>Validate the whole input. Check trusted scope. Look up data, never execute it.</w:t>
      </w:r>
    </w:p>
    <w:p>
      <w:r>
        <w:t>Apply exact ASCII input contracts while keeping format, authority, record existence and execution boundaries separate.</w:t>
      </w:r>
    </w:p>
    <w:p>
      <w:r>
        <w:t>Input/local-data contract → four gate paths → lowercase picture → full-match/type probes → executable dictionary audit → independent uppercase set.</w:t>
      </w:r>
    </w:p>
    <w:p>
      <w:pPr>
        <w:pStyle w:val="Heading1"/>
      </w:pPr>
      <w:r>
        <w:t>01. Keep input data from becoming instructions or permission</w:t>
      </w:r>
    </w:p>
    <w:p>
      <w:r>
        <w:t>An accepted shape is only one gate on the way to a supported answer.</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trusted evidence and recovery boundaries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External side effects and recovery.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untrusted input</w:t>
      </w:r>
      <w:r>
        <w:rPr>
          <w:b w:val="0"/>
        </w:rPr>
        <w:t xml:space="preserve"> boundaries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Declare the exact input contract and the separate authority source</w:t>
      </w:r>
    </w:p>
    <w:p>
      <w:r>
        <w:t>The added dictionary fixture makes the investigation complete without implying a real room record.</w:t>
      </w:r>
    </w:p>
    <w:p>
      <w:pPr>
        <w:pStyle w:val="Heading2"/>
      </w:pPr>
      <w:r>
        <w:t>Begin with data, shape and access as different concepts</w:t>
      </w:r>
    </w:p>
    <w:p>
      <w:pPr>
        <w:spacing w:line="336" w:lineRule="auto" w:after="180"/>
      </w:pPr>
      <w:r>
        <w:rPr>
          <w:b w:val="0"/>
        </w:rPr>
        <w:t>A room identifier is data. Even if a supplied string looks like a command, the lookup service must not run it as code. This exercise accepts exactly two ASCII characters: one uppercase letter and one digit. It does not trim spaces, change case or convert other types. After shape validation, the service still checks trusted access and looks up the exact key. A correct-looking identifier cannot authorize itself.</w:t>
      </w:r>
    </w:p>
    <w:p>
      <w:pPr>
        <w:pStyle w:val="Heading2"/>
      </w:pPr>
      <w:r>
        <w:t>Define untrusted input boundaries</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2"/>
      </w:pPr>
      <w:r>
        <w:t>Complete main contract and local lookup givens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uppercase contract and local extension</w:t>
            </w:r>
          </w:p>
        </w:tc>
        <w:tc>
          <w:tcPr>
            <w:tcW w:type="dxa" w:w="5112"/>
          </w:tcPr>
          <w:p>
            <w:r>
              <w:t>Complete rule or fixture</w:t>
            </w:r>
          </w:p>
        </w:tc>
      </w:tr>
      <w:tr>
        <w:tc>
          <w:tcPr>
            <w:tcW w:type="dxa" w:w="5112"/>
          </w:tcPr>
          <w:p>
            <w:r>
              <w:t>Input type and shape</w:t>
            </w:r>
          </w:p>
        </w:tc>
        <w:tc>
          <w:tcPr>
            <w:tcW w:type="dxa" w:w="5112"/>
          </w:tcPr>
          <w:p>
            <w:r>
              <w:t>Exact Python str, whole input matching [A-Z][0-9]</w:t>
            </w:r>
          </w:p>
        </w:tc>
      </w:tr>
      <w:tr>
        <w:tc>
          <w:tcPr>
            <w:tcW w:type="dxa" w:w="5112"/>
          </w:tcPr>
          <w:p>
            <w:r>
              <w:t>Normalization</w:t>
            </w:r>
          </w:p>
        </w:tc>
        <w:tc>
          <w:tcPr>
            <w:tcW w:type="dxa" w:w="5112"/>
          </w:tcPr>
          <w:p>
            <w:r>
              <w:t>None: no trimming, case conversion or coercion</w:t>
            </w:r>
          </w:p>
        </w:tc>
      </w:tr>
      <w:tr>
        <w:tc>
          <w:tcPr>
            <w:tcW w:type="dxa" w:w="5112"/>
          </w:tcPr>
          <w:p>
            <w:r>
              <w:t>Trusted allowed IDs in the local extension</w:t>
            </w:r>
          </w:p>
        </w:tc>
        <w:tc>
          <w:tcPr>
            <w:tcW w:type="dxa" w:w="5112"/>
          </w:tcPr>
          <w:p>
            <w:r>
              <w:t>A1 and D4, supplied by the test harness</w:t>
            </w:r>
          </w:p>
        </w:tc>
      </w:tr>
      <w:tr>
        <w:tc>
          <w:tcPr>
            <w:tcW w:type="dxa" w:w="5112"/>
          </w:tcPr>
          <w:p>
            <w:r>
              <w:t>Local records</w:t>
            </w:r>
          </w:p>
        </w:tc>
        <w:tc>
          <w:tcPr>
            <w:tcW w:type="dxa" w:w="5112"/>
          </w:tcPr>
          <w:p>
            <w:r>
              <w:t>A1 has capacity 12/source ROOM-A1; B2 exists but is not in the allowed scope</w:t>
            </w:r>
          </w:p>
        </w:tc>
      </w:tr>
      <w:tr>
        <w:tc>
          <w:tcPr>
            <w:tcW w:type="dxa" w:w="5112"/>
          </w:tcPr>
          <w:p>
            <w:r>
              <w:t>Authorized but absent ID</w:t>
            </w:r>
          </w:p>
        </w:tc>
        <w:tc>
          <w:tcPr>
            <w:tcW w:type="dxa" w:w="5112"/>
          </w:tcPr>
          <w:p>
            <w:r>
              <w:t>D4 returns review after a permitted lookup</w:t>
            </w:r>
          </w:p>
        </w:tc>
      </w:tr>
      <w:tr>
        <w:tc>
          <w:tcPr>
            <w:tcW w:type="dxa" w:w="5112"/>
          </w:tcPr>
          <w:p>
            <w:r>
              <w:t>Response fields</w:t>
            </w:r>
          </w:p>
        </w:tc>
        <w:tc>
          <w:tcPr>
            <w:tcW w:type="dxa" w:w="5112"/>
          </w:tcPr>
          <w:p>
            <w:r>
              <w:t>Only status, room_id, capacity and source_id; record fields are checked</w:t>
            </w:r>
          </w:p>
        </w:tc>
      </w:tr>
      <w:tr>
        <w:tc>
          <w:tcPr>
            <w:tcW w:type="dxa" w:w="5112"/>
          </w:tcPr>
          <w:p>
            <w:r>
              <w:t>Instruction-shaped input</w:t>
            </w:r>
          </w:p>
        </w:tc>
        <w:tc>
          <w:tcPr>
            <w:tcW w:type="dxa" w:w="5112"/>
          </w:tcPr>
          <w:p>
            <w:r>
              <w:t>delete_all() fails shape; no input is evaluated as code</w:t>
            </w:r>
          </w:p>
        </w:tc>
      </w:tr>
      <w:tr>
        <w:tc>
          <w:tcPr>
            <w:tcW w:type="dxa" w:w="5112"/>
          </w:tcPr>
          <w:p>
            <w:r>
              <w:t>Observation</w:t>
            </w:r>
          </w:p>
        </w:tc>
        <w:tc>
          <w:tcPr>
            <w:tcW w:type="dxa" w:w="5112"/>
          </w:tcPr>
          <w:p>
            <w:r>
              <w:t>Lookup-call IDs and an unchanged source snapshot</w:t>
            </w:r>
          </w:p>
        </w:tc>
      </w:tr>
      <w:tr>
        <w:tc>
          <w:tcPr>
            <w:tcW w:type="dxa" w:w="5112"/>
          </w:tcPr>
          <w:p>
            <w:r>
              <w:t>Scope</w:t>
            </w:r>
          </w:p>
        </w:tc>
        <w:tc>
          <w:tcPr>
            <w:tcW w:type="dxa" w:w="5112"/>
          </w:tcPr>
          <w:p>
            <w:r>
              <w:t>Fictional records and trusted-scope fixtures, not real authentication or universal injection protection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each gate without treating a string as control</w:t>
      </w:r>
    </w:p>
    <w:p>
      <w:r>
        <w:t>A format pass, an authorization pass and an existing record establish different facts.</w:t>
      </w:r>
    </w:p>
    <w:p>
      <w:pPr>
        <w:pStyle w:val="Heading2"/>
      </w:pPr>
      <w:r>
        <w:t>Original exact-room-ID and dictionary-lookup mechanism</w:t>
      </w:r>
    </w:p>
    <w:p>
      <w:pPr>
        <w:spacing w:line="336" w:lineRule="auto" w:after="180"/>
      </w:pPr>
      <w:r>
        <w:rPr>
          <w:b w:val="0"/>
        </w:rPr>
        <w:t>For the toy lookup accept room IDs matching one ASCII uppercase letter plus one ASCII digit, with no trimming. Perform exact dictionary lookup; never evaluate user strings as code. Reject invalid length or characters.</w:t>
      </w:r>
    </w:p>
    <w:p>
      <w:pPr>
        <w:pStyle w:val="Heading2"/>
      </w:pPr>
      <w:r>
        <w:t>Complete four-path local decision trace</w:t>
      </w:r>
    </w:p>
    <w:p>
      <w:pPr>
        <w:pStyle w:val="Heading3"/>
      </w:pPr>
      <w:r>
        <w:t>Validate shape, then authorize, then look up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Supplied input</w:t>
            </w:r>
          </w:p>
        </w:tc>
        <w:tc>
          <w:tcPr>
            <w:tcW w:type="dxa" w:w="3408"/>
          </w:tcPr>
          <w:p>
            <w:r>
              <w:t>Checks and permitted lookup</w:t>
            </w:r>
          </w:p>
        </w:tc>
        <w:tc>
          <w:tcPr>
            <w:tcW w:type="dxa" w:w="3408"/>
          </w:tcPr>
          <w:p>
            <w:r>
              <w:t>Local result</w:t>
            </w:r>
          </w:p>
        </w:tc>
      </w:tr>
      <w:tr>
        <w:tc>
          <w:tcPr>
            <w:tcW w:type="dxa" w:w="3408"/>
          </w:tcPr>
          <w:p>
            <w:r>
              <w:t>A1</w:t>
            </w:r>
          </w:p>
        </w:tc>
        <w:tc>
          <w:tcPr>
            <w:tcW w:type="dxa" w:w="3408"/>
          </w:tcPr>
          <w:p>
            <w:r>
              <w:t>Whole shape passes; trusted scope allows; exact record exists</w:t>
            </w:r>
          </w:p>
        </w:tc>
        <w:tc>
          <w:tcPr>
            <w:tcW w:type="dxa" w:w="3408"/>
          </w:tcPr>
          <w:p>
            <w:r>
              <w:t>Answer capacity12 with source ROOM-A1</w:t>
            </w:r>
          </w:p>
        </w:tc>
      </w:tr>
      <w:tr>
        <w:tc>
          <w:tcPr>
            <w:tcW w:type="dxa" w:w="3408"/>
          </w:tcPr>
          <w:p>
            <w:r>
              <w:t>delete_all()</w:t>
            </w:r>
          </w:p>
        </w:tc>
        <w:tc>
          <w:tcPr>
            <w:tcW w:type="dxa" w:w="3408"/>
          </w:tcPr>
          <w:p>
            <w:r>
              <w:t>Whole shape fails before access or lookup</w:t>
            </w:r>
          </w:p>
        </w:tc>
        <w:tc>
          <w:tcPr>
            <w:tcW w:type="dxa" w:w="3408"/>
          </w:tcPr>
          <w:p>
            <w:r>
              <w:t>invalid_input; no instruction executes</w:t>
            </w:r>
          </w:p>
        </w:tc>
      </w:tr>
      <w:tr>
        <w:tc>
          <w:tcPr>
            <w:tcW w:type="dxa" w:w="3408"/>
          </w:tcPr>
          <w:p>
            <w:r>
              <w:t>B2</w:t>
            </w:r>
          </w:p>
        </w:tc>
        <w:tc>
          <w:tcPr>
            <w:tcW w:type="dxa" w:w="3408"/>
          </w:tcPr>
          <w:p>
            <w:r>
              <w:t>Shape passes, trusted access excludes it</w:t>
            </w:r>
          </w:p>
        </w:tc>
        <w:tc>
          <w:tcPr>
            <w:tcW w:type="dxa" w:w="3408"/>
          </w:tcPr>
          <w:p>
            <w:r>
              <w:t>denied; no record lookup</w:t>
            </w:r>
          </w:p>
        </w:tc>
      </w:tr>
      <w:tr>
        <w:tc>
          <w:tcPr>
            <w:tcW w:type="dxa" w:w="3408"/>
          </w:tcPr>
          <w:p>
            <w:r>
              <w:t>D4</w:t>
            </w:r>
          </w:p>
        </w:tc>
        <w:tc>
          <w:tcPr>
            <w:tcW w:type="dxa" w:w="3408"/>
          </w:tcPr>
          <w:p>
            <w:r>
              <w:t>Shape passes and access allows, but record absent</w:t>
            </w:r>
          </w:p>
        </w:tc>
        <w:tc>
          <w:tcPr>
            <w:tcW w:type="dxa" w:w="3408"/>
          </w:tcPr>
          <w:p>
            <w:r>
              <w:t>review; do not invent a capacity</w:t>
            </w:r>
          </w:p>
        </w:tc>
      </w:tr>
    </w:tbl>
    <w:p>
      <w:r>
        <w:t>The original worked case classifies A1 and instruction-shaped text. This explicitly supplied local extension additionally tests authority, existence and response fields.</w:t>
      </w:r>
    </w:p>
    <w:p>
      <w:pPr>
        <w:pStyle w:val="Heading2"/>
      </w:pPr>
      <w:r>
        <w:t>State the contract before checking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ASCII uppercase letter plus one ASCII digit, with no trimming.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case or length while keeping the contract fixed</w:t>
      </w:r>
    </w:p>
    <w:p>
      <w:r>
        <w:t>Do not silently normalize a failing value to make it pass.</w:t>
      </w:r>
    </w:p>
    <w:p>
      <w:pPr>
        <w:pStyle w:val="Heading2"/>
      </w:pPr>
      <w:r>
        <w:t>Current task and response</w:t>
      </w:r>
    </w:p>
    <w:p>
      <w:pPr>
        <w:pStyle w:val="ListBullet"/>
      </w:pPr>
      <w:r>
        <w:t>Inputs A1 and delete_all() are supplied to room lookup.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lowercase-picture identifier</w:t>
      </w:r>
    </w:p>
    <w:p>
      <w:pPr>
        <w:pStyle w:val="ListBullet"/>
      </w:pPr>
      <w:r>
        <w:t>Change: Replace h3 with z0.</w:t>
      </w:r>
    </w:p>
    <w:p>
      <w:pPr>
        <w:pStyle w:val="Heading2"/>
      </w:pPr>
      <w:r>
        <w:t>Check after predicting · reference / check after trying</w:t>
      </w:r>
    </w:p>
    <w:p>
      <w:pPr>
        <w:spacing w:line="336" w:lineRule="auto" w:after="180"/>
      </w:pPr>
      <w:r>
        <w:rPr>
          <w:b/>
        </w:rPr>
        <w:t>Prediction</w:t>
      </w:r>
      <w:r>
        <w:rPr>
          <w:b w:val="0"/>
        </w:rPr>
        <w: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Compare two exact contracts without mixing their rules</w:t>
      </w:r>
    </w:p>
    <w:p>
      <w:r>
        <w:t>A case change may affect shape acceptance while leaving authority unestablished.</w:t>
      </w:r>
    </w:p>
    <w:p>
      <w:pPr>
        <w:pStyle w:val="Heading2"/>
      </w:pPr>
      <w:r>
        <w:t>Original main A1/instruction-string inputs and conclusion</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2"/>
      </w:pPr>
      <w:r>
        <w:t>Keep policy-compliant diagnostic evidence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s, evaluation population or authority can change what it establishes. Retain a policy-compliant diagnostic record of the outcome so a later revision can be compared honestly.</w:t>
      </w:r>
    </w:p>
    <w:p>
      <w:pPr>
        <w:pStyle w:val="Heading2"/>
      </w:pPr>
      <w:r>
        <w:t>Separate pictured lowercase rule and complete inputs</w:t>
      </w:r>
    </w:p>
    <w:p>
      <w:pPr>
        <w:spacing w:line="336" w:lineRule="auto" w:after="180"/>
      </w:pPr>
      <w:r>
        <w:rPr>
          <w:b w:val="0"/>
        </w:rPr>
        <w:t>Check shape before permission. A toy tool accepts exactly one ASCII lowercase letter followed by one ASCII digit, with no trimming.</w:t>
      </w:r>
    </w:p>
    <w:p>
      <w:pPr>
        <w:spacing w:line="336" w:lineRule="auto" w:after="180"/>
      </w:pPr>
      <w:r>
        <w:rPr>
          <w:b/>
        </w:rPr>
        <w:t>Input</w:t>
      </w:r>
      <w:r>
        <w:rPr>
          <w:b w:val="0"/>
        </w:rPr>
        <w:t>s h3, H3, h30 and "h3 ". Shape acceptance never grants access by itself.</w:t>
      </w:r>
    </w:p>
    <w:p>
      <w:pPr>
        <w:spacing w:line="336" w:lineRule="auto" w:after="180"/>
      </w:pPr>
      <w:r>
        <w:rPr>
          <w:b w:val="0"/>
        </w:rPr>
        <w:t>The main contract is uppercase [A-Z][0-9]. The picture is a separate lowercase [a-z][0-9] contract, also with no trimming. Under that pictured contract h3 passes; H3 has the wrong case; h30 has an extra character; "h3 " has a trailing space. The changed z0 passes shape but still needs trusted authorization.</w:t>
      </w:r>
    </w:p>
    <w:p>
      <w:pPr>
        <w:spacing w:line="336" w:lineRule="auto" w:after="180"/>
      </w:pPr>
      <w:r>
        <w:rPr>
          <w:b w:val="0"/>
        </w:rPr>
        <w:t>Do not apply the main uppercase rule to the picture or treat either shape result as permission to read a record.</w:t>
      </w:r>
    </w:p>
    <w:p>
      <w:pPr>
        <w:pStyle w:val="Heading2"/>
      </w:pPr>
      <w:r>
        <w:t>Trace exact case, length and access distinction</w:t>
      </w:r>
    </w:p>
    <w:p>
      <w:r>
        <w:drawing>
          <wp:inline xmlns:a="http://schemas.openxmlformats.org/drawingml/2006/main" xmlns:pic="http://schemas.openxmlformats.org/drawingml/2006/picture">
            <wp:extent cx="5486400" cy="3182112"/>
            <wp:docPr id="1" name="Picture 1"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spacing w:line="336" w:lineRule="auto" w:after="180"/>
      </w:pPr>
      <w:r>
        <w:rPr>
          <w:b/>
        </w:rPr>
        <w:t>Input</w:t>
      </w:r>
      <w:r>
        <w:rPr>
          <w:b w:val="0"/>
        </w:rPr>
        <w:t xml:space="preserve"> shape and permission answer different questions. Silently normalising these </w:t>
      </w:r>
      <w:r>
        <w:rPr>
          <w:b/>
        </w:rPr>
        <w:t>input</w:t>
      </w:r>
      <w:r>
        <w:rPr>
          <w:b w:val="0"/>
        </w:rPr>
        <w:t>s would change the stated contract.</w:t>
      </w:r>
    </w:p>
    <w:p>
      <w:pPr>
        <w:pStyle w:val="Heading2"/>
      </w:pPr>
      <w:r>
        <w:t>Predict replacing h3 with z0</w:t>
      </w:r>
    </w:p>
    <w:p>
      <w:pPr>
        <w:pStyle w:val="ListBullet"/>
      </w:pPr>
      <w:r>
        <w:t>Change one thing: Replace h3 with z0.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accepted shape and separate permission gate</w:t>
      </w:r>
    </w:p>
    <w:p>
      <w:pPr>
        <w:pStyle w:val="ListBullet"/>
      </w:pPr>
      <w:r>
        <w:t>Some systems normalise inputs explicitly; this fictional contract deliberately does not.</w:t>
      </w:r>
    </w:p>
    <w:p>
      <w:pPr>
        <w:pStyle w:val="ListBullet"/>
      </w:pPr>
      <w:r>
        <w:t>Read the labelled picture: Classify h3, H3, h30 and the trailing-space input by the stated shape contract. Does a valid z0 grant record access, and which separate gate still remains?</w:t>
      </w:r>
    </w:p>
    <w:p>
      <w:pPr>
        <w:pStyle w:val="Heading2"/>
      </w:pPr>
      <w:r>
        <w:t>Reference: original main format-only helper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Untrusted input boundaries</w:t>
      </w:r>
    </w:p>
    <w:p>
      <w:pPr>
        <w:pStyle w:val="Heading3"/>
      </w:pPr>
      <w:r>
        <w:t>The facts we will use</w:t>
      </w:r>
    </w:p>
    <w:p>
      <w:r>
        <w:drawing>
          <wp:inline xmlns:a="http://schemas.openxmlformats.org/drawingml/2006/main" xmlns:pic="http://schemas.openxmlformats.org/drawingml/2006/picture">
            <wp:extent cx="5486400" cy="5185229"/>
            <wp:docPr id="3" name="Picture 3"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Test full-match boundaries and the next required gate</w:t>
      </w:r>
    </w:p>
    <w:p>
      <w:r>
        <w:t>A format check cannot grant resource access or validate all later components.</w:t>
      </w:r>
    </w:p>
    <w:p>
      <w:pPr>
        <w:pStyle w:val="Heading2"/>
      </w:pPr>
      <w:r>
        <w:t>Core format-versus-access qualification</w:t>
      </w:r>
    </w:p>
    <w:p>
      <w:pPr>
        <w:spacing w:line="336" w:lineRule="auto" w:after="180"/>
      </w:pPr>
      <w:r>
        <w:rPr>
          <w:b w:val="0"/>
        </w:rPr>
        <w:t>A format check does not grant resource access; authorisation follows separately.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case, Unicode, missing-type and access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Input or boundary probe</w:t>
            </w:r>
          </w:p>
        </w:tc>
        <w:tc>
          <w:tcPr>
            <w:tcW w:type="dxa" w:w="5112"/>
          </w:tcPr>
          <w:p>
            <w:r>
              <w:t>Expected interpretation</w:t>
            </w:r>
          </w:p>
        </w:tc>
      </w:tr>
      <w:tr>
        <w:tc>
          <w:tcPr>
            <w:tcW w:type="dxa" w:w="5112"/>
          </w:tcPr>
          <w:p>
            <w:r>
              <w:t>A1 under the main contract</w:t>
            </w:r>
          </w:p>
        </w:tc>
        <w:tc>
          <w:tcPr>
            <w:tcW w:type="dxa" w:w="5112"/>
          </w:tcPr>
          <w:p>
            <w:r>
              <w:t>Shape passes; only separate trusted scope and record evidence permit the example answer</w:t>
            </w:r>
          </w:p>
        </w:tc>
      </w:tr>
      <w:tr>
        <w:tc>
          <w:tcPr>
            <w:tcW w:type="dxa" w:w="5112"/>
          </w:tcPr>
          <w:p>
            <w:r>
              <w:t>a1, A11 or A1 with trailing space/newline</w:t>
            </w:r>
          </w:p>
        </w:tc>
        <w:tc>
          <w:tcPr>
            <w:tcW w:type="dxa" w:w="5112"/>
          </w:tcPr>
          <w:p>
            <w:r>
              <w:t>Main whole-input shape fails; do not trim or change case</w:t>
            </w:r>
          </w:p>
        </w:tc>
      </w:tr>
      <w:tr>
        <w:tc>
          <w:tcPr>
            <w:tcW w:type="dxa" w:w="5112"/>
          </w:tcPr>
          <w:p>
            <w:r>
              <w:t>Fullwidth characters or a non-ASCII digit</w:t>
            </w:r>
          </w:p>
        </w:tc>
        <w:tc>
          <w:tcPr>
            <w:tcW w:type="dxa" w:w="5112"/>
          </w:tcPr>
          <w:p>
            <w:r>
              <w:t>Do not match the declared ASCII ranges</w:t>
            </w:r>
          </w:p>
        </w:tc>
      </w:tr>
      <w:tr>
        <w:tc>
          <w:tcPr>
            <w:tcW w:type="dxa" w:w="5112"/>
          </w:tcPr>
          <w:p>
            <w:r>
              <w:t>None or another non-string type</w:t>
            </w:r>
          </w:p>
        </w:tc>
        <w:tc>
          <w:tcPr>
            <w:tcW w:type="dxa" w:w="5112"/>
          </w:tcPr>
          <w:p>
            <w:r>
              <w:t>Fail before regex matching; no implicit conversion</w:t>
            </w:r>
          </w:p>
        </w:tc>
      </w:tr>
      <w:tr>
        <w:tc>
          <w:tcPr>
            <w:tcW w:type="dxa" w:w="5112"/>
          </w:tcPr>
          <w:p>
            <w:r>
              <w:t>delete_all()</w:t>
            </w:r>
          </w:p>
        </w:tc>
        <w:tc>
          <w:tcPr>
            <w:tcW w:type="dxa" w:w="5112"/>
          </w:tcPr>
          <w:p>
            <w:r>
              <w:t>Instruction-shaped data fails the format and is never executed</w:t>
            </w:r>
          </w:p>
        </w:tc>
      </w:tr>
      <w:tr>
        <w:tc>
          <w:tcPr>
            <w:tcW w:type="dxa" w:w="5112"/>
          </w:tcPr>
          <w:p>
            <w:r>
              <w:t>Valid B2 outside trusted scope</w:t>
            </w:r>
          </w:p>
        </w:tc>
        <w:tc>
          <w:tcPr>
            <w:tcW w:type="dxa" w:w="5112"/>
          </w:tcPr>
          <w:p>
            <w:r>
              <w:t>Deny before lookup, even if a fixture record exists</w:t>
            </w:r>
          </w:p>
        </w:tc>
      </w:tr>
      <w:tr>
        <w:tc>
          <w:tcPr>
            <w:tcW w:type="dxa" w:w="5112"/>
          </w:tcPr>
          <w:p>
            <w:r>
              <w:t>Valid authorized D4 with no record</w:t>
            </w:r>
          </w:p>
        </w:tc>
        <w:tc>
          <w:tcPr>
            <w:tcW w:type="dxa" w:w="5112"/>
          </w:tcPr>
          <w:p>
            <w:r>
              <w:t>Review after lookup, without inventing content</w:t>
            </w:r>
          </w:p>
        </w:tc>
      </w:tr>
      <w:tr>
        <w:tc>
          <w:tcPr>
            <w:tcW w:type="dxa" w:w="5112"/>
          </w:tcPr>
          <w:p>
            <w:r>
              <w:t>Lowercase-picture z0</w:t>
            </w:r>
          </w:p>
        </w:tc>
        <w:tc>
          <w:tcPr>
            <w:tcW w:type="dxa" w:w="5112"/>
          </w:tcPr>
          <w:p>
            <w:r>
              <w:t>Shape only; authority remains a separate question</w:t>
            </w:r>
          </w:p>
        </w:tc>
      </w:tr>
      <w:tr>
        <w:tc>
          <w:tcPr>
            <w:tcW w:type="dxa" w:w="5112"/>
          </w:tcPr>
          <w:p>
            <w:r>
              <w:t>All these local probes pass</w:t>
            </w:r>
          </w:p>
        </w:tc>
        <w:tc>
          <w:tcPr>
            <w:tcW w:type="dxa" w:w="5112"/>
          </w:tcPr>
          <w:p>
            <w:r>
              <w:t>No proof that every query, shell, model or deployed input boundary is protected</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exact failed condition and its consequence</w:t>
      </w:r>
    </w:p>
    <w:p>
      <w:r>
        <w:t>Say shape, permission or missing evidence rather than simply good/bad input.</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Untrusted input</w:t>
      </w:r>
      <w:r>
        <w:rPr>
          <w:b w:val="0"/>
        </w:rPr>
        <w:t xml:space="preserve"> boundaries”.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access-limit check</w:t>
      </w:r>
    </w:p>
    <w:p>
      <w:pPr>
        <w:pStyle w:val="ListBullet"/>
      </w:pPr>
      <w:r>
        <w:t>Use the worked case for Untrusted input boundaries.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Lowercase-picture response</w:t>
      </w:r>
    </w:p>
    <w:p>
      <w:pPr>
        <w:pStyle w:val="ListBullet"/>
      </w:pPr>
      <w:r>
        <w:t>Classify h3, H3, h30 and the trailing-space input by the stated shape contract. Does a valid z0 grant record access, and which separate gate still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new C0 input set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shape, authorization and unchanged-data audit</w:t>
      </w:r>
    </w:p>
    <w:p>
      <w:r>
        <w:t>Record the gate outcome and whether a lookup occurred, not just the final response.</w:t>
      </w:r>
    </w:p>
    <w:p>
      <w:pPr>
        <w:pStyle w:val="Heading2"/>
      </w:pPr>
      <w:r>
        <w:t>Current A1/instruction-shaped-input investigation</w:t>
      </w:r>
    </w:p>
    <w:p>
      <w:pPr>
        <w:spacing w:line="336" w:lineRule="auto" w:after="180"/>
      </w:pPr>
      <w:r>
        <w:rPr>
          <w:b/>
        </w:rPr>
        <w:t>Input</w:t>
      </w:r>
      <w:r>
        <w:rPr>
          <w:b w:val="0"/>
        </w:rPr>
        <w:t>s A1 and delete_all() are supplied to room lookup. Show the intermediate steps and give the conclusion with its scope.</w:t>
      </w:r>
    </w:p>
    <w:p>
      <w:pPr>
        <w:pStyle w:val="Heading2"/>
      </w:pPr>
      <w:r>
        <w:t>Complete runnable exact-match and local lookup checks</w:t>
      </w:r>
    </w:p>
    <w:p>
      <w:r>
        <w:rPr>
          <w:rFonts w:ascii="Courier New" w:hAnsi="Courier New"/>
          <w:sz w:val="18"/>
        </w:rPr>
        <w:t>"""Exact ASCII identifier contracts and local read-only dictionary lookup."""</w:t>
        <w:br/>
        <w:t>import re</w:t>
        <w:br/>
        <w:t>from copy import deepcopy</w:t>
        <w:br/>
        <w:br/>
        <w:t>def valid_room_id(value):</w:t>
        <w:br/>
        <w:t xml:space="preserve">    return type(value) is str and re.fullmatch(r'[A-Z][0-9]',value) is not None</w:t>
        <w:br/>
        <w:br/>
        <w:t>def valid_picture_id(value):</w:t>
        <w:br/>
        <w:t xml:space="preserve">    return type(value) is str and re.fullmatch(r'[a-z][0-9]',value) is not None</w:t>
        <w:br/>
        <w:br/>
        <w:t>RECORDS={'A1':{'capacity':12,'source_id':'ROOM-A1'},</w:t>
        <w:br/>
        <w:t xml:space="preserve">         'B2':{'capacity':7,'source_id':'ROOM-B2'}}</w:t>
        <w:br/>
        <w:t>TRUSTED_ALLOWED=frozenset({'A1','D4'})</w:t>
        <w:br/>
        <w:br/>
        <w:t>def lookup(value,allowed,records,calls):</w:t>
        <w:br/>
        <w:t xml:space="preserve">    if not valid_room_id(value):return {'status':'invalid_input'}</w:t>
        <w:br/>
        <w:t xml:space="preserve">    if value not in allowed:return {'status':'denied'}</w:t>
        <w:br/>
        <w:t xml:space="preserve">    calls.append(value)  # local fixture lookup trace, not a network call</w:t>
        <w:br/>
        <w:t xml:space="preserve">    record=records.get(value)</w:t>
        <w:br/>
        <w:t xml:space="preserve">    if record is None:return {'status':'review','reason':'missing approved record'}</w:t>
        <w:br/>
        <w:t xml:space="preserve">    if (type(record) is not dict or set(record)!={'capacity','source_id'} or type(record.get('capacity')) is not int</w:t>
        <w:br/>
        <w:t xml:space="preserve">        or record['capacity']&lt;0 or type(record.get('source_id')) is not str or not record['source_id']):</w:t>
        <w:br/>
        <w:t xml:space="preserve">        return {'status':'review','reason':'invalid record fields'}</w:t>
        <w:br/>
        <w:t xml:space="preserve">    return {'status':'answered','room_id':value,'capacity':record['capacity'],'source_id':record['source_id']}</w:t>
        <w:br/>
        <w:br/>
        <w:t>before=deepcopy(RECORDS);calls=[]</w:t>
        <w:br/>
        <w:t>normal=lookup('A1',TRUSTED_ALLOWED,RECORDS,calls)</w:t>
        <w:br/>
        <w:t>rejected=lookup('delete_all()',TRUSTED_ALLOWED,RECORDS,calls)</w:t>
        <w:br/>
        <w:t>denied=lookup('B2',TRUSTED_ALLOWED,RECORDS,calls)</w:t>
        <w:br/>
        <w:t>missing=lookup('D4',TRUSTED_ALLOWED,RECORDS,calls)</w:t>
        <w:br/>
        <w:t>assert normal=={'status':'answered','room_id':'A1','capacity':12,'source_id':'ROOM-A1'}</w:t>
        <w:br/>
        <w:t>assert rejected=={'status':'invalid_input'} and denied=={'status':'denied'}</w:t>
        <w:br/>
        <w:t>assert missing['status']=='review' and calls==['A1','D4'] and RECORDS==before</w:t>
        <w:br/>
        <w:t>print('Main allowed/invalid/denied/missing fixtures:',normal,rejected,denied,missing)</w:t>
        <w:br/>
        <w:t>print('Actual local lookup IDs:',calls,'records unchanged:',RECORDS==before)</w:t>
        <w:br/>
        <w:t># Do not trim, change case, coerce values or execute instruction-shaped data.</w:t>
        <w:br/>
        <w:t>values=['A1','a1','A11','A1 ','A1\n','Ａ１','A١','delete_all()',None]</w:t>
        <w:br/>
        <w:t>for value in values:print('Main shape fixture:',repr(value),valid_room_id(value))</w:t>
        <w:br/>
        <w:t>assert [valid_room_id(v) for v in values]==[True,False,False,False,False,False,False,False,False]</w:t>
        <w:br/>
        <w:t># Separate pictured contract is lowercase, not the main uppercase contract.</w:t>
        <w:br/>
        <w:t>picture=['h3','H3','h30','h3 ','z0']</w:t>
        <w:br/>
        <w:t>assert [valid_picture_id(v) for v in picture]==[True,False,False,False,True]</w:t>
        <w:br/>
        <w:t>print('Separate picture shapes:',[(repr(v),valid_picture_id(v)) for v in picture])</w:t>
        <w:br/>
        <w:t>print('A valid shape does not grant access. No evaluation of input as code, SQL, shell or model instruction occurs.')</w:t>
        <w:br/>
        <w:t>print('Trusted scope is a classroom fixture, not real authentication; these checks do not prove every injection boundary is protected.')</w:t>
        <w:br/>
      </w:r>
    </w:p>
    <w:p>
      <w:pPr>
        <w:pStyle w:val="Heading2"/>
      </w:pPr>
      <w:r>
        <w:t>Expected gate outcomes, visible whitespace and limits</w:t>
      </w:r>
    </w:p>
    <w:p>
      <w:pPr>
        <w:pStyle w:val="ListNumber"/>
      </w:pPr>
      <w:r>
        <w:t>Predict all four local outcomes and the lookup-call list before running or tracing. Only A1 and D4 reach fixture lookup; instruction-shaped text fails input shape and B2 is denied before lookup. The source snapshot stays unchanged. Additional supplied shape fixtures test case, length, trailing whitespace/newline, fullwidth characters, a non-ASCII digit and None. Their repr output makes whitespace visible without evaluating any input as code. The picture’s lowercase checker is separate and performs no resource access. The program reads no real records, authenticates no user, evaluates no code/query/shell string and makes no model or network call. Keep actual private inputs out of this fixture exercise.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original format-only snippet · reference / check after trying</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apply the new uppercase C0 input set</w:t>
      </w:r>
    </w:p>
    <w:p>
      <w:r>
        <w:t>Use only the stated shape contract and explain why it cannot grant permission.</w:t>
      </w:r>
    </w:p>
    <w:p>
      <w:pPr>
        <w:pStyle w:val="Heading2"/>
      </w:pPr>
      <w:r>
        <w:t>Complete selected independent uppercase/no-trim task</w:t>
      </w:r>
    </w:p>
    <w:p>
      <w:pPr>
        <w:spacing w:line="336" w:lineRule="auto" w:after="180"/>
      </w:pPr>
      <w:r>
        <w:rPr>
          <w:b/>
        </w:rPr>
        <w:t>Input</w:t>
      </w:r>
      <w:r>
        <w:rPr>
          <w:b w:val="0"/>
        </w:rPr>
        <w:t xml:space="preserve"> format is exactly one ASCII uppercase letter followed by one digit, with no trimming. Evaluate C0, c0, C00, "C0 ", and None. Does a valid format grant access?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Attempt this without hints</w:t>
      </w:r>
    </w:p>
    <w:p>
      <w:pPr>
        <w:spacing w:line="336" w:lineRule="auto" w:after="180"/>
      </w:pPr>
      <w:r>
        <w:rPr>
          <w:b w:val="0"/>
        </w:rPr>
        <w:t>Classify B2, b2, B22 and B2; DROP under the exact format.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exact input grammar beside scope and lookup assertions</w:t>
      </w:r>
    </w:p>
    <w:p>
      <w:r>
        <w:t>Retain rejected fixture cases and policy-compliant diagnostic outcomes.</w:t>
      </w:r>
    </w:p>
    <w:p>
      <w:pPr>
        <w:pStyle w:val="Heading2"/>
      </w:pPr>
      <w:r>
        <w:t>Project task and artifact</w:t>
      </w:r>
    </w:p>
    <w:p>
      <w:pPr>
        <w:spacing w:line="336" w:lineRule="auto" w:after="180"/>
      </w:pPr>
      <w:r>
        <w:rPr>
          <w:b w:val="0"/>
        </w:rPr>
        <w:t xml:space="preserve">Add a labelled </w:t>
      </w:r>
      <w:r>
        <w:rPr>
          <w:b/>
        </w:rPr>
        <w:t>untrusted input</w:t>
      </w:r>
      <w:r>
        <w:rPr>
          <w:b w:val="0"/>
        </w:rPr>
        <w:t xml:space="preserve"> boundaries </w:t>
      </w:r>
      <w:r>
        <w:rPr>
          <w:b/>
        </w:rPr>
        <w:t>evidence</w:t>
      </w:r>
      <w:r>
        <w:rPr>
          <w:b w:val="0"/>
        </w:rPr>
        <w:t xml:space="preserve"> sheet to Grounded Learning Service. Show how you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 precise contract and a separate authority check</w:t>
      </w:r>
    </w:p>
    <w:p>
      <w:r>
        <w:t>Data that looks like a command or valid identifier does not become control.</w:t>
      </w:r>
    </w:p>
    <w:p>
      <w:pPr>
        <w:pStyle w:val="Heading2"/>
      </w:pPr>
      <w:r>
        <w:t>Retrieve and explain</w:t>
      </w:r>
    </w:p>
    <w:p>
      <w:pPr>
        <w:pStyle w:val="ListBullet"/>
      </w:pPr>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ASCII uppercase letter plus one ASCII digit, with no trimming.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Check shape before permission. A toy tool accepts exactly one ASCII lowercase letter followed by one ASCII digit, with no trimming.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Check shape before permission. A toy tool accepts exactly one ASCII lowercase letter followed by one ASCII digit, with no trimming.</w:t>
      </w:r>
    </w:p>
    <w:p>
      <w:pPr>
        <w:pStyle w:val="Heading3"/>
      </w:pPr>
      <w:r>
        <w:t>Practice 1: explain the deciding evidence</w:t>
      </w:r>
    </w:p>
    <w:p>
      <w:pPr>
        <w:pStyle w:val="ListBullet"/>
      </w:pPr>
      <w:r>
        <w:t>Which labelled step matches this detail? An accepted identifier still needs trusted authorisation.</w:t>
      </w:r>
    </w:p>
    <w:p>
      <w:pPr>
        <w:pStyle w:val="ListBullet"/>
      </w:pPr>
      <w:r>
        <w:t>1. Reject wrong shapes</w:t>
      </w:r>
    </w:p>
    <w:p>
      <w:pPr>
        <w:pStyle w:val="ListBullet"/>
      </w:pPr>
      <w:r>
        <w:t>2. Check authority next</w:t>
      </w:r>
    </w:p>
    <w:p>
      <w:pPr>
        <w:pStyle w:val="ListBullet"/>
      </w:pPr>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authority next An accepted identifier still needs trusted authorisation. </w:t>
      </w:r>
      <w:r>
        <w:rPr>
          <w:b/>
        </w:rPr>
        <w:t>Input</w:t>
      </w:r>
      <w:r>
        <w:rPr>
          <w:b w:val="0"/>
        </w:rPr>
        <w:t xml:space="preserve"> shape and permission answer different questions.</w:t>
      </w:r>
    </w:p>
    <w:p>
      <w:pPr>
        <w:spacing w:line="336" w:lineRule="auto" w:after="180"/>
      </w:pPr>
      <w:r>
        <w:rPr>
          <w:b w:val="0"/>
        </w:rPr>
        <w:t xml:space="preserve">Silently normalising these </w:t>
      </w:r>
      <w:r>
        <w:rPr>
          <w:b/>
        </w:rPr>
        <w:t>input</w:t>
      </w:r>
      <w:r>
        <w:rPr>
          <w:b w:val="0"/>
        </w:rPr>
        <w:t>s would change the stated contract.</w:t>
      </w:r>
    </w:p>
    <w:p>
      <w:pPr>
        <w:pStyle w:val="Heading2"/>
      </w:pPr>
      <w:r>
        <w:t>Changed-case question and optional hint</w:t>
      </w:r>
    </w:p>
    <w:p>
      <w:pPr>
        <w:pStyle w:val="Heading3"/>
      </w:pPr>
      <w:r>
        <w:t>Practice 2: explain the deciding evidence</w:t>
      </w:r>
    </w:p>
    <w:p>
      <w:pPr>
        <w:pStyle w:val="ListBullet"/>
      </w:pPr>
      <w:r>
        <w:t>Changed-case practice: Replace h3 with z0. Which conclusion is supported by the supplied facts?</w:t>
      </w:r>
    </w:p>
    <w:p>
      <w:pPr>
        <w:pStyle w:val="ListBullet"/>
      </w:pPr>
      <w:r>
        <w:t>1. We can decide the result without examining the changed input or the procedure.</w:t>
      </w:r>
    </w:p>
    <w:p>
      <w:pPr>
        <w:pStyle w:val="ListBullet"/>
      </w:pPr>
      <w:r>
        <w:t>2. The shape passes; resource access is still undecided.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shape passes; resource access is still undecided. Structure contains no </w:t>
      </w:r>
      <w:r>
        <w:rPr>
          <w:b/>
        </w:rPr>
        <w:t>evidence</w:t>
      </w:r>
      <w:r>
        <w:rPr>
          <w:b w:val="0"/>
        </w:rPr>
        <w:t xml:space="preserve"> of ownership or user permission.</w:t>
      </w:r>
    </w:p>
    <w:p>
      <w:pPr>
        <w:pStyle w:val="Heading2"/>
      </w:pPr>
      <w:r>
        <w:t>Repair and retain the record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Untrusted input boundaries: the case</w:t>
      </w:r>
    </w:p>
    <w:p>
      <w:r>
        <w:drawing>
          <wp:inline xmlns:a="http://schemas.openxmlformats.org/drawingml/2006/main" xmlns:pic="http://schemas.openxmlformats.org/drawingml/2006/picture">
            <wp:extent cx="5486400" cy="2834640"/>
            <wp:docPr id="4" name="Picture 4" descr="Check shape before permission. A toy tool accepts exactly one ASCII lowercase letter followed by one ASCII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ASCII digit, with no trimming. Supplied facts: </w:t>
      </w:r>
      <w:r>
        <w:rPr>
          <w:b/>
        </w:rPr>
        <w:t>Input</w:t>
      </w:r>
      <w:r>
        <w:rPr>
          <w:b w:val="0"/>
        </w:rPr>
        <w:t>s h3, H3, h30 and "h3 ". Shape acceptance never grants access by itself.</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Untrusted input boundaries — evidence trace</w:t>
      </w:r>
    </w:p>
    <w:p>
      <w:r>
        <w:drawing>
          <wp:inline xmlns:a="http://schemas.openxmlformats.org/drawingml/2006/main" xmlns:pic="http://schemas.openxmlformats.org/drawingml/2006/picture">
            <wp:extent cx="5486400" cy="3145536"/>
            <wp:docPr id="6" name="Picture 6" descr="Untrusted input boundaries — evidence trace. Inpu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Untrusted input boundaries: the case</w:t>
      </w:r>
    </w:p>
    <w:p>
      <w:pPr>
        <w:pStyle w:val="Heading3"/>
      </w:pPr>
      <w:r>
        <w:t>02. Follow the deciding steps</w:t>
      </w:r>
    </w:p>
    <w:p>
      <w:pPr>
        <w:pStyle w:val="Heading3"/>
      </w:pPr>
      <w:r>
        <w:t>03. Untrusted input boundaries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