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ai-2/7</w:t>
      </w:r>
    </w:p>
    <w:p>
      <w:pPr>
        <w:pStyle w:val="Title"/>
      </w:pPr>
      <w:r>
        <w:t>Rows Columns and Data Types</w:t>
      </w:r>
    </w:p>
    <w:p>
      <w:r>
        <w:t>Project: Transparent Book Recommender</w:t>
      </w:r>
    </w:p>
    <w:p>
      <w:pPr>
        <w:pStyle w:val="Heading1"/>
      </w:pPr>
      <w:r>
        <w:t>Before you start</w:t>
      </w:r>
    </w:p>
    <w:p>
      <w:r>
        <w:t>Week 2: stages need agreed input formats.</w:t>
      </w:r>
    </w:p>
    <w:p>
      <w:pPr>
        <w:pStyle w:val="Heading1"/>
      </w:pPr>
      <w:r>
        <w:t>01. Your mission</w:t>
      </w:r>
    </w:p>
    <w:p>
      <w:pPr>
        <w:pStyle w:val="Heading3"/>
      </w:pPr>
      <w:r>
        <w:t>Your learning target</w:t>
      </w:r>
    </w:p>
    <w:p>
      <w:r>
        <w:t>I can specify a table schema.</w:t>
      </w:r>
    </w:p>
    <w:p>
      <w:r>
        <w:t>I can check types and units as well as names.</w:t>
      </w:r>
    </w:p>
    <w:p>
      <w:r>
        <w:t>I can distinguish structural validity from truth.</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Debugging Strategies. Give an example and a mistake that the idea helps you avoid.</w:t>
      </w:r>
    </w:p>
    <w:p>
      <w:r>
        <w:t>Without opening the old lesson, explain one key idea from Trace Tables. Give an example and a mistake that the idea helps you avoid.</w:t>
      </w:r>
    </w:p>
    <w:p>
      <w:r>
        <w:t>Without opening the old lesson, explain one key idea from Precision in Algorithms. Give an example and a mistake that the idea helps you avoid.</w:t>
      </w:r>
    </w:p>
    <w:p>
      <w:r>
        <w:t>After trying, check the relevant lesson or ask your teacher. Change the part of your explanation that the evidence shows was wrong.</w:t>
      </w:r>
    </w:p>
    <w:p>
      <w:r>
        <w:t>Week 7: Rows, Columns, and Data Types</w:t>
      </w:r>
    </w:p>
    <w:p>
      <w:r>
        <w:t>Structured tables preserve meaning through named fields and consistent types.</w:t>
      </w:r>
    </w:p>
    <w:p>
      <w:r>
        <w:drawing>
          <wp:inline xmlns:a="http://schemas.openxmlformats.org/drawingml/2006/main" xmlns:pic="http://schemas.openxmlformats.org/drawingml/2006/picture">
            <wp:extent cx="2942705" cy="2942705"/>
            <wp:docPr id="1" name="Picture 1" descr="Week 7 illustration: Rows, Columns, and Data Types"/>
            <wp:cNvGraphicFramePr>
              <a:graphicFrameLocks noChangeAspect="1"/>
            </wp:cNvGraphicFramePr>
            <a:graphic>
              <a:graphicData uri="http://schemas.openxmlformats.org/drawingml/2006/picture">
                <pic:pic>
                  <pic:nvPicPr>
                    <pic:cNvPr id="0" name="73a18eb46ccafac52c51dbc1d05ae308f488afbced7044f0d5cb43e2f30b405b.png"/>
                    <pic:cNvPicPr/>
                  </pic:nvPicPr>
                  <pic:blipFill>
                    <a:blip r:embed="rId9"/>
                    <a:stretch>
                      <a:fillRect/>
                    </a:stretch>
                  </pic:blipFill>
                  <pic:spPr>
                    <a:xfrm>
                      <a:off x="0" y="0"/>
                      <a:ext cx="2942705" cy="2942705"/>
                    </a:xfrm>
                    <a:prstGeom prst="rect"/>
                  </pic:spPr>
                </pic:pic>
              </a:graphicData>
            </a:graphic>
          </wp:inline>
        </w:drawing>
      </w:r>
    </w:p>
    <w:p>
      <w:r>
        <w:t>THINKER MISSION</w:t>
      </w:r>
    </w:p>
    <w:p>
      <w:r>
        <w:t>Repair a mixed-up class-pet dataset.</w:t>
      </w:r>
    </w:p>
    <w:p>
      <w:r>
        <w:t>Thinker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What does row["used"] mean?</w:t>
      </w:r>
    </w:p>
    <w:p>
      <w:pPr>
        <w:pStyle w:val="Heading3"/>
      </w:pPr>
      <w:r>
        <w:t>This week’s end goal</w:t>
      </w:r>
    </w:p>
    <w:p>
      <w:r>
        <w:t>By the end, I can read a table schema and distinguish a numeric value from its text representation.</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Rows, Columns, and Data Types"/>
            <wp:cNvGraphicFramePr>
              <a:graphicFrameLocks noChangeAspect="1"/>
            </wp:cNvGraphicFramePr>
            <a:graphic>
              <a:graphicData uri="http://schemas.openxmlformats.org/drawingml/2006/picture">
                <pic:pic>
                  <pic:nvPicPr>
                    <pic:cNvPr id="0" name="73a18eb46ccafac52c51dbc1d05ae308f488afbced7044f0d5cb43e2f30b405b.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rows, columns, and data types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fictional classroom logs the duration of each activity. Before comparing durations, define a schema: activity is nonempty text, minutes is an integer from 0 through 60, and each row describes one activity session. These decisions make data interpretable.</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Rows, Columns, and Data Types"/>
            <wp:cNvGraphicFramePr>
              <a:graphicFrameLocks noChangeAspect="1"/>
            </wp:cNvGraphicFramePr>
            <a:graphic>
              <a:graphicData uri="http://schemas.openxmlformats.org/drawingml/2006/picture">
                <pic:pic>
                  <pic:nvPicPr>
                    <pic:cNvPr id="0" name="61ceadf2bf1ed2784d38650d2518c5ddc39012ee1ede0677ea9947038f6b5660.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Rows, Columns, and Data Types"/>
            <wp:cNvGraphicFramePr>
              <a:graphicFrameLocks noChangeAspect="1"/>
            </wp:cNvGraphicFramePr>
            <a:graphic>
              <a:graphicData uri="http://schemas.openxmlformats.org/drawingml/2006/picture">
                <pic:pic>
                  <pic:nvPicPr>
                    <pic:cNvPr id="0" name="860e69f8751c9f33b4948a979ef831c67bf6991604e120860659595ddf2e142b.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Rows, Columns, and Data Types"/>
            <wp:cNvGraphicFramePr>
              <a:graphicFrameLocks noChangeAspect="1"/>
            </wp:cNvGraphicFramePr>
            <a:graphic>
              <a:graphicData uri="http://schemas.openxmlformats.org/drawingml/2006/picture">
                <pic:pic>
                  <pic:nvPicPr>
                    <pic:cNvPr id="0" name="613ef54802b0fa2927818ae91c8880aa0a64b33d20fcc7860033f1320ea4a092.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rPr>
          <w:rFonts w:ascii="Courier New" w:hAnsi="Courier New"/>
          <w:sz w:val="18"/>
        </w:rPr>
        <w:t>rows = [{"activity": "Reading", "minutes": 12},</w:t>
        <w:br/>
        <w:t xml:space="preserve">        {"activity": "Sorting", "minutes": 0}]</w:t>
        <w:br/>
        <w:t>for row in rows:</w:t>
        <w:br/>
        <w:t xml:space="preserve">    valid = (type(row["activity"]) is str</w:t>
        <w:br/>
        <w:t xml:space="preserve">             and len(row["activity"]) &gt; 0</w:t>
        <w:br/>
        <w:t xml:space="preserve">             and type(row["minutes"]) is int</w:t>
        <w:br/>
        <w:t xml:space="preserve">             and 0 &lt;= row["minutes"] &lt;= 60)</w:t>
        <w:br/>
        <w:t xml:space="preserve">    print(valid)</w:t>
      </w:r>
    </w:p>
    <w:p>
      <w:pPr>
        <w:pStyle w:val="Heading3"/>
      </w:pPr>
      <w:r>
        <w:t>Follow the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Step or case</w:t>
            </w:r>
          </w:p>
        </w:tc>
        <w:tc>
          <w:tcPr>
            <w:tcW w:type="dxa" w:w="3408"/>
          </w:tcPr>
          <w:p>
            <w:r>
              <w:t>Evidence</w:t>
            </w:r>
          </w:p>
        </w:tc>
        <w:tc>
          <w:tcPr>
            <w:tcW w:type="dxa" w:w="3408"/>
          </w:tcPr>
          <w:p>
            <w:r>
              <w:t>Meaning</w:t>
            </w:r>
          </w:p>
        </w:tc>
      </w:tr>
      <w:tr>
        <w:tc>
          <w:tcPr>
            <w:tcW w:type="dxa" w:w="3408"/>
          </w:tcPr>
          <w:p>
            <w:r>
              <w:t>activity</w:t>
            </w:r>
          </w:p>
        </w:tc>
        <w:tc>
          <w:tcPr>
            <w:tcW w:type="dxa" w:w="3408"/>
          </w:tcPr>
          <w:p>
            <w:r>
              <w:t>Nonempty text</w:t>
            </w:r>
          </w:p>
        </w:tc>
        <w:tc>
          <w:tcPr>
            <w:tcW w:type="dxa" w:w="3408"/>
          </w:tcPr>
          <w:p>
            <w:r>
              <w:t>Names the session activity</w:t>
            </w:r>
          </w:p>
        </w:tc>
      </w:tr>
      <w:tr>
        <w:tc>
          <w:tcPr>
            <w:tcW w:type="dxa" w:w="3408"/>
          </w:tcPr>
          <w:p>
            <w:r>
              <w:t>minutes</w:t>
            </w:r>
          </w:p>
        </w:tc>
        <w:tc>
          <w:tcPr>
            <w:tcW w:type="dxa" w:w="3408"/>
          </w:tcPr>
          <w:p>
            <w:r>
              <w:t>Integer 0 through 60</w:t>
            </w:r>
          </w:p>
        </w:tc>
        <w:tc>
          <w:tcPr>
            <w:tcW w:type="dxa" w:w="3408"/>
          </w:tcPr>
          <w:p>
            <w:r>
              <w:t>Duration in minutes</w:t>
            </w:r>
          </w:p>
        </w:tc>
      </w:tr>
    </w:tbl>
    <w:p>
      <w:r>
        <w:t>Read each row from left to right and connect the evidence to the stated rule.</w:t>
      </w:r>
    </w:p>
    <w:p>
      <w:r>
        <w:t>The worked script prints True twice. type(value) is int checks the exact type here and avoids accepting a Boolean as a count. The chained comparison checks both boundaries. The example assumes both keys exist; next week handles missing fields. A zero duration is allowed by this written schema.</w:t>
      </w:r>
    </w:p>
    <w:p>
      <w:pPr>
        <w:pStyle w:val="Heading3"/>
      </w:pPr>
      <w:r>
        <w:t>Check a row in separate steps</w:t>
      </w:r>
    </w:p>
    <w:p>
      <w:r>
        <w:t>A schema is a checklist for what a row must contain. First ask whether the activity name is text and is not empty. Next ask whether minutes is an integer. Then ask whether that integer lies between 0 and 60, including both ends. Keep these checks separate when explaining a rejection. The number 12 and the text "12" look similar on a page, but only the number meets this lesson’s minutes rule.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1f18213ba3d74c99072fa04ad7520b53eee0b2e9e845b0d8a61ccdda1b41f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fed8318cf337134a2c31a8d2c90831db67a27a43d3c6f85b25079c53ec37ff9a.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75f964dbe29000347e518a59e2717387d7109bd1f947abdafa07e931a61cf754.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4d936b6648b81ac897fc99370c2788f8e0b135d8fc31cfd77afceee66a92128c.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Change B’s pages from "90" to integer 90 using an approved repair.</w:t>
      </w:r>
    </w:p>
    <w:p>
      <w:r>
        <w:t>Prediction: B now satisfies the declared schema.</w:t>
      </w:r>
    </w:p>
    <w:p>
      <w:r>
        <w:t>Reason: Its id is nonempty and illustrated is Boolean; the page-type defect is removed.</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row"/>
            <wp:cNvGraphicFramePr>
              <a:graphicFrameLocks noChangeAspect="1"/>
            </wp:cNvGraphicFramePr>
            <a:graphic>
              <a:graphicData uri="http://schemas.openxmlformats.org/drawingml/2006/picture">
                <pic:pic>
                  <pic:nvPicPr>
                    <pic:cNvPr id="0" name="598245bf9366c14ecb858b99b3a536acc7483e2c8244152684d4dac5ba43dff9.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column"/>
            <wp:cNvGraphicFramePr>
              <a:graphicFrameLocks noChangeAspect="1"/>
            </wp:cNvGraphicFramePr>
            <a:graphic>
              <a:graphicData uri="http://schemas.openxmlformats.org/drawingml/2006/picture">
                <pic:pic>
                  <pic:nvPicPr>
                    <pic:cNvPr id="0" name="d4ed60c23c36c5d2b70501726409cd42dc21c29c55950a70f6611fda5eae7196.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data type"/>
            <wp:cNvGraphicFramePr>
              <a:graphicFrameLocks noChangeAspect="1"/>
            </wp:cNvGraphicFramePr>
            <a:graphic>
              <a:graphicData uri="http://schemas.openxmlformats.org/drawingml/2006/picture">
                <pic:pic>
                  <pic:nvPicPr>
                    <pic:cNvPr id="0" name="f654923ed14e301fe17edb38b623306249c5a8ed5b266a785ba82f96a0cf38ed.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schema"/>
            <wp:cNvGraphicFramePr>
              <a:graphicFrameLocks noChangeAspect="1"/>
            </wp:cNvGraphicFramePr>
            <a:graphic>
              <a:graphicData uri="http://schemas.openxmlformats.org/drawingml/2006/picture">
                <pic:pic>
                  <pic:nvPicPr>
                    <pic:cNvPr id="0" name="91b284658ba224f62a93cc2b64e77d19fe94840caf9ff80027bc684d8b680720.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row</w:t>
            </w:r>
          </w:p>
        </w:tc>
        <w:tc>
          <w:tcPr>
            <w:tcW w:type="dxa" w:w="3408"/>
          </w:tcPr>
          <w:p>
            <w:r>
              <w:t>One record or example in a table.</w:t>
            </w:r>
          </w:p>
        </w:tc>
        <w:tc>
          <w:tcPr>
            <w:tcW w:type="dxa" w:w="3408"/>
          </w:tcPr>
          <w:p>
            <w:r/>
          </w:p>
        </w:tc>
      </w:tr>
      <w:tr>
        <w:tc>
          <w:tcPr>
            <w:tcW w:type="dxa" w:w="3408"/>
          </w:tcPr>
          <w:p>
            <w:r>
              <w:t>column</w:t>
            </w:r>
          </w:p>
        </w:tc>
        <w:tc>
          <w:tcPr>
            <w:tcW w:type="dxa" w:w="3408"/>
          </w:tcPr>
          <w:p>
            <w:r>
              <w:t>A table field containing the same kind of information across rows.</w:t>
            </w:r>
          </w:p>
        </w:tc>
        <w:tc>
          <w:tcPr>
            <w:tcW w:type="dxa" w:w="3408"/>
          </w:tcPr>
          <w:p>
            <w:r/>
          </w:p>
        </w:tc>
      </w:tr>
      <w:tr>
        <w:tc>
          <w:tcPr>
            <w:tcW w:type="dxa" w:w="3408"/>
          </w:tcPr>
          <w:p>
            <w:r>
              <w:t>data type</w:t>
            </w:r>
          </w:p>
        </w:tc>
        <w:tc>
          <w:tcPr>
            <w:tcW w:type="dxa" w:w="3408"/>
          </w:tcPr>
          <w:p>
            <w:r>
              <w:t>A category of values, such as number, text or Boolean, with defined operations.</w:t>
            </w:r>
          </w:p>
        </w:tc>
        <w:tc>
          <w:tcPr>
            <w:tcW w:type="dxa" w:w="3408"/>
          </w:tcPr>
          <w:p>
            <w:r/>
          </w:p>
        </w:tc>
      </w:tr>
      <w:tr>
        <w:tc>
          <w:tcPr>
            <w:tcW w:type="dxa" w:w="3408"/>
          </w:tcPr>
          <w:p>
            <w:r>
              <w:t>schema</w:t>
            </w:r>
          </w:p>
        </w:tc>
        <w:tc>
          <w:tcPr>
            <w:tcW w:type="dxa" w:w="3408"/>
          </w:tcPr>
          <w:p>
            <w:r>
              <w:t>A specification of required fields, types and structural rules for data.</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Type</w:t>
            </w:r>
          </w:p>
        </w:tc>
        <w:tc>
          <w:tcPr>
            <w:tcW w:type="dxa" w:w="5112"/>
          </w:tcPr>
          <w:p>
            <w:r>
              <w:t>A category such as integer or text</w:t>
            </w:r>
          </w:p>
        </w:tc>
      </w:tr>
      <w:tr>
        <w:tc>
          <w:tcPr>
            <w:tcW w:type="dxa" w:w="5112"/>
          </w:tcPr>
          <w:p>
            <w:r>
              <w:t>Unit</w:t>
            </w:r>
          </w:p>
        </w:tc>
        <w:tc>
          <w:tcPr>
            <w:tcW w:type="dxa" w:w="5112"/>
          </w:tcPr>
          <w:p>
            <w:r>
              <w:t>The quantity scale attached to a number</w:t>
            </w:r>
          </w:p>
        </w:tc>
      </w:tr>
      <w:tr>
        <w:tc>
          <w:tcPr>
            <w:tcW w:type="dxa" w:w="5112"/>
          </w:tcPr>
          <w:p>
            <w:r>
              <w:t>Constraint</w:t>
            </w:r>
          </w:p>
        </w:tc>
        <w:tc>
          <w:tcPr>
            <w:tcW w:type="dxa" w:w="5112"/>
          </w:tcPr>
          <w:p>
            <w:r>
              <w:t>A rule a valid record must satisfy</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Rows, Columns, and Data Types"/>
            <wp:cNvGraphicFramePr>
              <a:graphicFrameLocks noChangeAspect="1"/>
            </wp:cNvGraphicFramePr>
            <a:graphic>
              <a:graphicData uri="http://schemas.openxmlformats.org/drawingml/2006/picture">
                <pic:pic>
                  <pic:nvPicPr>
                    <pic:cNvPr id="0" name="9853389faa10ed9d1256c7d1211cb6968069303ef66a8e02abd6f3532605b994.png"/>
                    <pic:cNvPicPr/>
                  </pic:nvPicPr>
                  <pic:blipFill>
                    <a:blip r:embed="rId21"/>
                    <a:stretch>
                      <a:fillRect/>
                    </a:stretch>
                  </pic:blipFill>
                  <pic:spPr>
                    <a:xfrm>
                      <a:off x="0" y="0"/>
                      <a:ext cx="5486400" cy="2377440"/>
                    </a:xfrm>
                    <a:prstGeom prst="rect"/>
                  </pic:spPr>
                </pic:pic>
              </a:graphicData>
            </a:graphic>
          </wp:inline>
        </w:drawing>
      </w:r>
    </w:p>
    <w:p>
      <w:r>
        <w:t>1. Schema: title=text; pages=whole number; genre=category.</w:t>
      </w:r>
    </w:p>
    <w:p>
      <w:r>
        <w:t>2. Bad record: pages=‘many’ cannot be compared numerically.</w:t>
      </w:r>
    </w:p>
    <w:p>
      <w:r>
        <w:t>3. Repair: verify the source, then enter 128—not a guess.</w:t>
      </w:r>
    </w:p>
    <w:p>
      <w:r>
        <w:t>4. Consistent types let sorting and calculations work predictably.</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pPr>
        <w:pStyle w:val="Heading3"/>
      </w:pPr>
      <w:r>
        <w:t>Would minutes of 61, "12" and 12 each pass? Explain the type distinction.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Rows Columns and Data Types</w:t>
      </w:r>
    </w:p>
    <w:p>
      <w:r>
        <w:t>A fictional approved book catalogue has three fields per row.</w:t>
      </w:r>
    </w:p>
    <w:p>
      <w:pPr>
        <w:pStyle w:val="Heading3"/>
      </w:pPr>
      <w:r>
        <w:t>The facts we will use</w:t>
      </w:r>
    </w:p>
    <w:p>
      <w:r>
        <w:t>Schema: id is nonempty text; pages is an integer 1–300; illustrated is Boolean True or False.</w:t>
      </w:r>
    </w:p>
    <w:p>
      <w:r>
        <w:t>Rows A={id:"B7",pages:90,illustrated:True}; B={id:"B8",pages:"90",illustrated:False}; C={id:"",pages:80,illustrated:True}.</w:t>
      </w:r>
    </w:p>
    <w:p>
      <w:r>
        <w:drawing>
          <wp:inline xmlns:a="http://schemas.openxmlformats.org/drawingml/2006/main" xmlns:pic="http://schemas.openxmlformats.org/drawingml/2006/picture">
            <wp:extent cx="5346057" cy="5943599"/>
            <wp:docPr id="15" name="Picture 15" descr="Rows Columns and Data Types. Column contract: Field names identify values; order is not the only guide.. Validate A: B7 is text, 90 is allowed integer, True is Boolean: valid.. Validate B: Quoted &quot;90&quot; is text, so pages fails the integer contract.. Validate C: Empty id fails even though its other two values have allowed types."/>
            <wp:cNvGraphicFramePr>
              <a:graphicFrameLocks noChangeAspect="1"/>
            </wp:cNvGraphicFramePr>
            <a:graphic>
              <a:graphicData uri="http://schemas.openxmlformats.org/drawingml/2006/picture">
                <pic:pic>
                  <pic:nvPicPr>
                    <pic:cNvPr id="0" name="academy-visual-ai-2-7.png"/>
                    <pic:cNvPicPr/>
                  </pic:nvPicPr>
                  <pic:blipFill>
                    <a:blip r:embed="rId22"/>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Column contract</w:t>
            </w:r>
          </w:p>
        </w:tc>
        <w:tc>
          <w:tcPr>
            <w:tcW w:type="dxa" w:w="5112"/>
          </w:tcPr>
          <w:p>
            <w:r>
              <w:t>Field names identify values; order is not the only guide.</w:t>
            </w:r>
          </w:p>
        </w:tc>
      </w:tr>
      <w:tr>
        <w:tc>
          <w:tcPr>
            <w:tcW w:type="dxa" w:w="5112"/>
          </w:tcPr>
          <w:p>
            <w:r>
              <w:t>2. Validate A</w:t>
            </w:r>
          </w:p>
        </w:tc>
        <w:tc>
          <w:tcPr>
            <w:tcW w:type="dxa" w:w="5112"/>
          </w:tcPr>
          <w:p>
            <w:r>
              <w:t>B7 is text, 90 is allowed integer, True is Boolean: valid.</w:t>
            </w:r>
          </w:p>
        </w:tc>
      </w:tr>
      <w:tr>
        <w:tc>
          <w:tcPr>
            <w:tcW w:type="dxa" w:w="5112"/>
          </w:tcPr>
          <w:p>
            <w:r>
              <w:t>3. Validate B</w:t>
            </w:r>
          </w:p>
        </w:tc>
        <w:tc>
          <w:tcPr>
            <w:tcW w:type="dxa" w:w="5112"/>
          </w:tcPr>
          <w:p>
            <w:r>
              <w:t>Quoted "90" is text, so pages fails the integer contract.</w:t>
            </w:r>
          </w:p>
        </w:tc>
      </w:tr>
      <w:tr>
        <w:tc>
          <w:tcPr>
            <w:tcW w:type="dxa" w:w="5112"/>
          </w:tcPr>
          <w:p>
            <w:r>
              <w:t>4. Validate C</w:t>
            </w:r>
          </w:p>
        </w:tc>
        <w:tc>
          <w:tcPr>
            <w:tcW w:type="dxa" w:w="5112"/>
          </w:tcPr>
          <w:p>
            <w:r>
              <w:t>Empty id fails even though its other two values have allowed types.</w:t>
            </w:r>
          </w:p>
        </w:tc>
      </w:tr>
    </w:tbl>
    <w:p>
      <w:r>
        <w:t>Match each pictured step to the supplied facts. This is a worked teaching case, not an independent assessment.</w:t>
      </w:r>
    </w:p>
    <w:p>
      <w:pPr>
        <w:pStyle w:val="Heading3"/>
      </w:pPr>
      <w:r>
        <w:t>Why this result follows</w:t>
      </w:r>
    </w:p>
    <w:p>
      <w:r>
        <w:t>A schema makes row meanings and expected types explicit. The string "90" looks like a number when printed but does not meet this strict integer schema. A repair can be authorised later, but must not be assumed silently. Missing or empty identifiers also prevent tracing an item back to its source.</w:t>
      </w:r>
    </w:p>
    <w:p>
      <w:pPr>
        <w:pStyle w:val="Heading3"/>
      </w:pPr>
      <w:r>
        <w:t>What this example does not establish</w:t>
      </w:r>
    </w:p>
    <w:p>
      <w:r>
        <w:t>Schema validity does not confirm that the book really has 90 pages or that its metadata is accurate.</w:t>
      </w:r>
    </w:p>
    <w:p>
      <w:r>
        <w:t>Read the labelled picture: Which two rows originally fail, and do they fail for the same reason?</w:t>
      </w:r>
    </w:p>
    <w:p>
      <w:r>
        <w:t>Change one thing: Change B’s pages from "90" to integer 90 using an approved repair. Predict the result before checking the explanation. What remains the same?</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6" name="Picture 16" descr="Misconception diagnosis for Rows, Columns, and Data Types"/>
            <wp:cNvGraphicFramePr>
              <a:graphicFrameLocks noChangeAspect="1"/>
            </wp:cNvGraphicFramePr>
            <a:graphic>
              <a:graphicData uri="http://schemas.openxmlformats.org/drawingml/2006/picture">
                <pic:pic>
                  <pic:nvPicPr>
                    <pic:cNvPr id="0" name="1e13ee86351d457817241a9206ebe51ca727a7a58c99e38befc69bc5f9feafa6.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row can satisfy every schema rule and still be a wrong observation. Schema validation checks our stated structure and constraints, not whether someone measured honestly or selected a representative sample.</w:t>
      </w:r>
    </w:p>
    <w:p>
      <w:pPr>
        <w:pStyle w:val="Heading3"/>
      </w:pPr>
      <w:r>
        <w:t>A row says Reading, 12 and passes. Does that establish the session really lasted 12 minutes?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Trace Before You Run</w:t>
      </w:r>
    </w:p>
    <w:p>
      <w:r>
        <w:t>Block code, pseudocode, tables, and diagrams are different ways to expose the same reasoning.</w:t>
      </w:r>
    </w:p>
    <w:p>
      <w:r>
        <w:drawing>
          <wp:inline xmlns:a="http://schemas.openxmlformats.org/drawingml/2006/main" xmlns:pic="http://schemas.openxmlformats.org/drawingml/2006/picture">
            <wp:extent cx="5486400" cy="1901952"/>
            <wp:docPr id="17" name="Picture 17" descr="Logic tracing graphic for Rows, Columns, and Data Types"/>
            <wp:cNvGraphicFramePr>
              <a:graphicFrameLocks noChangeAspect="1"/>
            </wp:cNvGraphicFramePr>
            <a:graphic>
              <a:graphicData uri="http://schemas.openxmlformats.org/drawingml/2006/picture">
                <pic:pic>
                  <pic:nvPicPr>
                    <pic:cNvPr id="0" name="eea505167ffbbb10362ff86f5f17a806cbfff2dadf444f92883587fa6eb375a7.png"/>
                    <pic:cNvPicPr/>
                  </pic:nvPicPr>
                  <pic:blipFill>
                    <a:blip r:embed="rId24"/>
                    <a:stretch>
                      <a:fillRect/>
                    </a:stretch>
                  </pic:blipFill>
                  <pic:spPr>
                    <a:xfrm>
                      <a:off x="0" y="0"/>
                      <a:ext cx="5486400" cy="1901952"/>
                    </a:xfrm>
                    <a:prstGeom prst="rect"/>
                  </pic:spPr>
                </pic:pic>
              </a:graphicData>
            </a:graphic>
          </wp:inline>
        </w:drawing>
      </w:r>
    </w:p>
    <w:p>
      <w:r>
        <w:t>SET evidence_record</w:t>
        <w:br/>
        <w:t>PREDICT expected_result</w:t>
        <w:br/>
        <w:t>RUN one normal case and one boundary case</w:t>
        <w:br/>
        <w:t>COMPARE actual_result with expected_result</w:t>
        <w:br/>
        <w:t>IF different: locate first cause; change one factor; RETEST</w:t>
        <w:br/>
        <w:t>EXPLAIN result, limitation, and next safe step</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If one row records 120 seconds in the minutes field, a simple numeric total becomes misleading. Correct the source or explicitly convert and document it; renaming a column alone does not convert values.</w:t>
      </w:r>
    </w:p>
    <w:p>
      <w:pPr>
        <w:pStyle w:val="Heading3"/>
      </w:pPr>
      <w:r>
        <w:t>Practise with less help: Classify records</w:t>
      </w:r>
    </w:p>
    <w:p>
      <w:r>
        <w:t>Use workbook W2 for the connected example “Rows columns and schemas”.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Rows columns and schemas. Proposed explanation: “A successful run proves the conclusion”.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Which two rows originally fail, and do they fail for the same reason?</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Rows, Columns, and Data Types"/>
            <wp:cNvGraphicFramePr>
              <a:graphicFrameLocks noChangeAspect="1"/>
            </wp:cNvGraphicFramePr>
            <a:graphic>
              <a:graphicData uri="http://schemas.openxmlformats.org/drawingml/2006/picture">
                <pic:pic>
                  <pic:nvPicPr>
                    <pic:cNvPr id="0" name="3b0c41a0bead8c99949a60893f27d889f62de7201a5ce721f4d511e25c6afdee.png"/>
                    <pic:cNvPicPr/>
                  </pic:nvPicPr>
                  <pic:blipFill>
                    <a:blip r:embed="rId25"/>
                    <a:stretch>
                      <a:fillRect/>
                    </a:stretch>
                  </pic:blipFill>
                  <pic:spPr>
                    <a:xfrm>
                      <a:off x="0" y="0"/>
                      <a:ext cx="5486400" cy="1901952"/>
                    </a:xfrm>
                    <a:prstGeom prst="rect"/>
                  </pic:spPr>
                </pic:pic>
              </a:graphicData>
            </a:graphic>
          </wp:inline>
        </w:drawing>
      </w:r>
    </w:p>
    <w:p>
      <w:r>
        <w:t>Audit a 10-row book table. Circle mixed types, missing values, duplicated rows, and fields with unclear names; document each repair.</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19" name="Picture 19" descr="Mastery ladder for Rows, Columns, and Data Types"/>
            <wp:cNvGraphicFramePr>
              <a:graphicFrameLocks noChangeAspect="1"/>
            </wp:cNvGraphicFramePr>
            <a:graphic>
              <a:graphicData uri="http://schemas.openxmlformats.org/drawingml/2006/picture">
                <pic:pic>
                  <pic:nvPicPr>
                    <pic:cNvPr id="0" name="cfa75f464fa07e55448e35cbc021cc66a38133d4d410088901b0d1014fdd3416.png"/>
                    <pic:cNvPicPr/>
                  </pic:nvPicPr>
                  <pic:blipFill>
                    <a:blip r:embed="rId26"/>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Transparent Book Recommender</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Rows, Columns, and Data Types"/>
            <wp:cNvGraphicFramePr>
              <a:graphicFrameLocks noChangeAspect="1"/>
            </wp:cNvGraphicFramePr>
            <a:graphic>
              <a:graphicData uri="http://schemas.openxmlformats.org/drawingml/2006/picture">
                <pic:pic>
                  <pic:nvPicPr>
                    <pic:cNvPr id="0" name="ecf549fa29194b142f04d0a1d3517a37dda52972d5be4ece1c9e4844992165cc.png"/>
                    <pic:cNvPicPr/>
                  </pic:nvPicPr>
                  <pic:blipFill>
                    <a:blip r:embed="rId27"/>
                    <a:stretch>
                      <a:fillRect/>
                    </a:stretch>
                  </pic:blipFill>
                  <pic:spPr>
                    <a:xfrm>
                      <a:off x="0" y="0"/>
                      <a:ext cx="5486400" cy="1901952"/>
                    </a:xfrm>
                    <a:prstGeom prst="rect"/>
                  </pic:spPr>
                </pic:pic>
              </a:graphicData>
            </a:graphic>
          </wp:inline>
        </w:drawing>
      </w:r>
    </w:p>
    <w:p>
      <w:r>
        <w:t>THIS WEEK’S CHECKPOINT  Store one book per row and keep reader preferences in a separate record.</w:t>
      </w:r>
    </w:p>
    <w:p>
      <w:r>
        <w:t>SYSTEM MAP  Reader need → allowed inputs → transparent rule or score → ranked candidates → explanation → test record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a ranking with a fact about a person.</w:t>
      </w:r>
    </w:p>
    <w:p>
      <w:pPr>
        <w:pStyle w:val="Heading3"/>
      </w:pPr>
      <w:r>
        <w:t>Evidence for your project</w:t>
      </w:r>
    </w:p>
    <w:p>
      <w:r>
        <w:t>Publish the recommender’s row schema and validation results before ranking books, preserving repair provenance.</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Rows, Columns, and Data Types"/>
            <wp:cNvGraphicFramePr>
              <a:graphicFrameLocks noChangeAspect="1"/>
            </wp:cNvGraphicFramePr>
            <a:graphic>
              <a:graphicData uri="http://schemas.openxmlformats.org/drawingml/2006/picture">
                <pic:pic>
                  <pic:nvPicPr>
                    <pic:cNvPr id="0" name="946695f295a413c91bc3acb491ac2f032b3d7c5f25f7a7d178e2cbe803f369fa.png"/>
                    <pic:cNvPicPr/>
                  </pic:nvPicPr>
                  <pic:blipFill>
                    <a:blip r:embed="rId28"/>
                    <a:stretch>
                      <a:fillRect/>
                    </a:stretch>
                  </pic:blipFill>
                  <pic:spPr>
                    <a:xfrm>
                      <a:off x="0" y="0"/>
                      <a:ext cx="5486400" cy="1901952"/>
                    </a:xfrm>
                    <a:prstGeom prst="rect"/>
                  </pic:spPr>
                </pic:pic>
              </a:graphicData>
            </a:graphic>
          </wp:inline>
        </w:drawing>
      </w:r>
    </w:p>
    <w:p>
      <w:r>
        <w:t>CHALLENGE  Repair a mixed-up class-pet dataset.</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7 Worked case</w:t>
      </w:r>
    </w:p>
    <w:p>
      <w:r>
        <w:t>Use the supplied details to practise the weekly concept before attempting the independent question. This case extends the illustrated lesson.</w:t>
      </w:r>
    </w:p>
    <w:p>
      <w:pPr>
        <w:pStyle w:val="Heading3"/>
      </w:pPr>
      <w:r>
        <w:t>The situation</w:t>
      </w:r>
    </w:p>
    <w:p>
      <w:r>
        <w:t>Fields are Title, Pages and Borrowed; a row contains River, ninety and yes.</w:t>
      </w:r>
    </w:p>
    <w:p>
      <w:pPr>
        <w:pStyle w:val="Heading3"/>
      </w:pPr>
      <w:r>
        <w:t>The question</w:t>
      </w:r>
    </w:p>
    <w:p>
      <w:r>
        <w:t>Assign intended types and a repair.</w:t>
      </w:r>
    </w:p>
    <w:p>
      <w:pPr>
        <w:pStyle w:val="Heading3"/>
      </w:pPr>
      <w:r>
        <w:t>Worked explanation</w:t>
      </w:r>
    </w:p>
    <w:p>
      <w:r>
        <w:t>Text, numeric and Boolean. Confirm ninety means 90, then convert and record the change; use a consistent Boolean representation.</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A field has a meaning and a type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Title</w:t>
            </w:r>
          </w:p>
        </w:tc>
        <w:tc>
          <w:tcPr>
            <w:tcW w:type="dxa" w:w="5112"/>
          </w:tcPr>
          <w:p>
            <w:r>
              <w:t>Text → River</w:t>
            </w:r>
          </w:p>
        </w:tc>
      </w:tr>
      <w:tr>
        <w:tc>
          <w:tcPr>
            <w:tcW w:type="dxa" w:w="5112"/>
          </w:tcPr>
          <w:p>
            <w:r>
              <w:t>Pages</w:t>
            </w:r>
          </w:p>
        </w:tc>
        <w:tc>
          <w:tcPr>
            <w:tcW w:type="dxa" w:w="5112"/>
          </w:tcPr>
          <w:p>
            <w:r>
              <w:t>Number → 90 after checking source</w:t>
            </w:r>
          </w:p>
        </w:tc>
      </w:tr>
      <w:tr>
        <w:tc>
          <w:tcPr>
            <w:tcW w:type="dxa" w:w="5112"/>
          </w:tcPr>
          <w:p>
            <w:r>
              <w:t>Borrowed</w:t>
            </w:r>
          </w:p>
        </w:tc>
        <w:tc>
          <w:tcPr>
            <w:tcW w:type="dxa" w:w="5112"/>
          </w:tcPr>
          <w:p>
            <w:r>
              <w:t>Boolean → true or false</w:t>
            </w:r>
          </w:p>
        </w:tc>
      </w:tr>
    </w:tbl>
    <w:p>
      <w:r>
        <w:t>Fields are Title, Pages and Borrowed; a row contains River, ninety and yes.</w:t>
      </w:r>
    </w:p>
    <w:p>
      <w:r>
        <w:t>Assign intended types and a repair.</w:t>
      </w:r>
    </w:p>
    <w:p>
      <w:r>
        <w:t>Text, numeric and Boolean. Confirm ninety means 90, then convert and record the change; use a consistent Boolean representation.</w:t>
      </w:r>
    </w:p>
    <w:p>
      <w:pPr>
        <w:pStyle w:val="Heading1"/>
      </w:pPr>
      <w:r>
        <w:t>14. Try a new case independently</w:t>
      </w:r>
    </w:p>
    <w:p>
      <w:pPr>
        <w:pStyle w:val="Heading3"/>
      </w:pPr>
      <w:r>
        <w:t>Independent case: Design a schema independently</w:t>
      </w:r>
    </w:p>
    <w:p>
      <w:r>
        <w:t>For a fictional shelf audit, define label and book_count fields. Require a nonempty text label and an integer count from 0 to 40. Give two valid and two invalid records with reasons.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7 Independent application</w:t>
      </w:r>
    </w:p>
    <w:p>
      <w:r>
        <w:t>Close the worked explanation. Apply the idea to this different question without copying.</w:t>
      </w:r>
    </w:p>
    <w:p>
      <w:r>
        <w:t>A table row is book_id B7, pages 84, available true. Name the type of each field and explain why pages stored as eighty-four complicates calculation.</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Store one book per row and keep reader preferences in a separate record.</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 row contains title='Sky', pages='120', available='false'. Explain why treating nonempty text as true can misread availability. Propose explicit conversions and a rejected-input case.</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approved book catalogue has three fields per row.</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Specify a table schema</w:t>
            </w:r>
          </w:p>
        </w:tc>
        <w:tc>
          <w:tcPr>
            <w:tcW w:type="dxa" w:w="5112"/>
          </w:tcPr>
          <w:p>
            <w:r>
              <w:t>Explain the deciding step, show a trace or test, and state one limit.</w:t>
            </w:r>
          </w:p>
        </w:tc>
      </w:tr>
      <w:tr>
        <w:tc>
          <w:tcPr>
            <w:tcW w:type="dxa" w:w="5112"/>
          </w:tcPr>
          <w:p>
            <w:r>
              <w:t>Check types and units as well as names</w:t>
            </w:r>
          </w:p>
        </w:tc>
        <w:tc>
          <w:tcPr>
            <w:tcW w:type="dxa" w:w="5112"/>
          </w:tcPr>
          <w:p>
            <w:r>
              <w:t>Explain the deciding step, show a trace or test, and state one limit.</w:t>
            </w:r>
          </w:p>
        </w:tc>
      </w:tr>
      <w:tr>
        <w:tc>
          <w:tcPr>
            <w:tcW w:type="dxa" w:w="5112"/>
          </w:tcPr>
          <w:p>
            <w:r>
              <w:t>Distinguish structural validity from truth</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Specify a table schema</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A fictional approved book catalogue has three fields per row.</w:t>
      </w:r>
    </w:p>
    <w:p>
      <w:pPr>
        <w:pStyle w:val="Heading3"/>
      </w:pPr>
      <w:r>
        <w:t>Practice 1: explain the deciding evidence</w:t>
      </w:r>
    </w:p>
    <w:p>
      <w:r>
        <w:t>Which labelled step matches this detail? Empty id fails even though its other two values have allowed types.</w:t>
      </w:r>
    </w:p>
    <w:p>
      <w:r>
        <w:t>1. Column contract</w:t>
      </w:r>
    </w:p>
    <w:p>
      <w:r>
        <w:t>2. Validate C</w:t>
      </w:r>
    </w:p>
    <w:p>
      <w:r>
        <w:t>3. Validate B</w:t>
      </w:r>
    </w:p>
    <w:p>
      <w:r>
        <w:t>4. Validate A</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Validate C Empty id fails even though its other two values have allowed types. A schema makes row meanings and expected types explicit. The string "90" looks like a number when printed but does not meet this strict integer schema. A repair can be authorised later, but must not be assumed silently. Missing or empty identifiers also prevent tracing an item back to its source.</w:t>
      </w:r>
    </w:p>
    <w:p>
      <w:pPr>
        <w:pStyle w:val="Heading3"/>
      </w:pPr>
      <w:r>
        <w:t>Practice 2: explain the deciding evidence</w:t>
      </w:r>
    </w:p>
    <w:p>
      <w:r>
        <w:t>Changed-case practice: Change B’s pages from "90" to integer 90 using an approved repair. Which conclusion is supported by the supplied facts?</w:t>
      </w:r>
    </w:p>
    <w:p>
      <w:r>
        <w:t>1. B now satisfies the declared schema.</w:t>
      </w:r>
    </w:p>
    <w:p>
      <w:r>
        <w:t>2. We can decide the result without examining the changed input or the procedure.</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B now satisfies the declared schema. Its id is nonempty and illustrated is Boolean; the page-type defect is removed.</w:t>
      </w:r>
    </w:p>
    <w:p>
      <w:pPr>
        <w:pStyle w:val="Heading3"/>
      </w:pPr>
      <w:r>
        <w:t>Repair a missing building block</w:t>
      </w:r>
    </w:p>
    <w:p>
      <w:r>
        <w:t>Review Debugging Strategies (ai-2/6). Goal: Design revealing tests for a function. Short practice: Which test most directly isolates the handling of loose books, and what should it produce?. Return to this week and explain what you changed.</w:t>
      </w:r>
    </w:p>
    <w:p>
      <w:r>
        <w:t>Review Trace Tables (ai-2/4). Goal: Trace variable values before and after each loop iteration. Short practice: Move print inside the original loop. What sequence is displayed?. Return to this week and explain what you changed.</w:t>
      </w:r>
    </w:p>
    <w:p>
      <w:r>
        <w:t>Review Precision in Algorithms (ai-2/1). Goal: Translate a short paper calculation into a Python script. Short practice: If print(total) moves before total=total+2, what gets printed for the original input?.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