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ai-3/25</w:t>
      </w:r>
    </w:p>
    <w:p>
      <w:pPr>
        <w:pStyle w:val="Title"/>
      </w:pPr>
      <w:r>
        <w:t>Quality Rubrics</w:t>
      </w:r>
    </w:p>
    <w:p>
      <w:r>
        <w:t>Project: Verified Study Buddy</w:t>
      </w:r>
    </w:p>
    <w:p>
      <w:pPr>
        <w:pStyle w:val="Heading1"/>
      </w:pPr>
      <w:r>
        <w:t>Before you start</w:t>
      </w:r>
    </w:p>
    <w:p>
      <w:r>
        <w:t>Week 6: rubric points must represent the intended requirement.</w:t>
      </w:r>
    </w:p>
    <w:p>
      <w:pPr>
        <w:pStyle w:val="Heading1"/>
      </w:pPr>
      <w:r>
        <w:t>01. Your mission</w:t>
      </w:r>
    </w:p>
    <w:p>
      <w:pPr>
        <w:pStyle w:val="Heading3"/>
      </w:pPr>
      <w:r>
        <w:t>Your learning target</w:t>
      </w:r>
    </w:p>
    <w:p>
      <w:r>
        <w:t>I can explain the mechanism and terminology of system evaluation sets.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Prototype a Grounded Assistant. Give an example and a mistake that the idea helps you avoid.</w:t>
      </w:r>
    </w:p>
    <w:p>
      <w:r>
        <w:t>Without opening the old lesson, explain one key idea from Requests Responses and JSON. Give an example and a mistake that the idea helps you avoid.</w:t>
      </w:r>
    </w:p>
    <w:p>
      <w:r>
        <w:t>Without opening the old lesson, explain one key idea from User Need and AI Contribution. Give an example and a mistake that the idea helps you avoid.</w:t>
      </w:r>
    </w:p>
    <w:p>
      <w:r>
        <w:t>After trying, check the relevant lesson or ask your teacher. Change the part of your explanation that the evidence shows was wrong.</w:t>
      </w:r>
    </w:p>
    <w:p>
      <w:r>
        <w:t>Week 25: Quality Rubrics</w:t>
      </w:r>
    </w:p>
    <w:p>
      <w:r>
        <w:t>Usefulness, correctness, clarity, safety, and completeness must be judged separately.</w:t>
      </w:r>
    </w:p>
    <w:p>
      <w:r>
        <w:drawing>
          <wp:inline xmlns:a="http://schemas.openxmlformats.org/drawingml/2006/main" xmlns:pic="http://schemas.openxmlformats.org/drawingml/2006/picture">
            <wp:extent cx="2942705" cy="2942705"/>
            <wp:docPr id="1" name="Picture 1" descr="Week 25 illustration: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r>
        <w:t>CREATOR MISSION</w:t>
      </w:r>
    </w:p>
    <w:p>
      <w:r>
        <w:t>Score outputs and justify disagreements with evidence.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Latency cost and resource use. Explain why a recorded result needs its input conditions and evidence source before it can support a claim.</w:t>
      </w:r>
    </w:p>
    <w:p>
      <w:pPr>
        <w:pStyle w:val="Heading3"/>
      </w:pPr>
      <w:r>
        <w:t>This week’s end goal</w:t>
      </w:r>
    </w:p>
    <w:p>
      <w:r>
        <w:t>By the end, I can explain quality rubrics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quality rubrics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Quality Rubrics"/>
            <wp:cNvGraphicFramePr>
              <a:graphicFrameLocks noChangeAspect="1"/>
            </wp:cNvGraphicFramePr>
            <a:graphic>
              <a:graphicData uri="http://schemas.openxmlformats.org/drawingml/2006/picture">
                <pic:pic>
                  <pic:nvPicPr>
                    <pic:cNvPr id="0" name="ab567300d0dca3e7f0e12aa17fe133c6c44917877c1e63cdb2272bdd6a3c4ba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Quality Rubrics"/>
            <wp:cNvGraphicFramePr>
              <a:graphicFrameLocks noChangeAspect="1"/>
            </wp:cNvGraphicFramePr>
            <a:graphic>
              <a:graphicData uri="http://schemas.openxmlformats.org/drawingml/2006/picture">
                <pic:pic>
                  <pic:nvPicPr>
                    <pic:cNvPr id="0" name="ba6462367cdbeaa186779a3cfae767cc20a0cef55e5cc36c40c2d423153929c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Quality Rubrics"/>
            <wp:cNvGraphicFramePr>
              <a:graphicFrameLocks noChangeAspect="1"/>
            </wp:cNvGraphicFramePr>
            <a:graphic>
              <a:graphicData uri="http://schemas.openxmlformats.org/drawingml/2006/picture">
                <pic:pic>
                  <pic:nvPicPr>
                    <pic:cNvPr id="0" name="ff548bfe958bb54466e7eaab5280a2f896bad341faf6c12f88cebc5602f26ab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case ID, evidence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unsupported sentence while preserving the supported one.</w:t>
      </w:r>
    </w:p>
    <w:p>
      <w:r>
        <w:t>Prediction: The revised one-sentence answer passes these two declared checks.</w:t>
      </w:r>
    </w:p>
    <w:p>
      <w:r>
        <w:t>Reason: The remaining claim is supported and one sentence is within the maximum.</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mension"/>
            <wp:cNvGraphicFramePr>
              <a:graphicFrameLocks noChangeAspect="1"/>
            </wp:cNvGraphicFramePr>
            <a:graphic>
              <a:graphicData uri="http://schemas.openxmlformats.org/drawingml/2006/picture">
                <pic:pic>
                  <pic:nvPicPr>
                    <pic:cNvPr id="0" name="21c68ccb151860df9a40e3aabc0f921e15db20fd051fb3c36d0019bc76934a7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nchor"/>
            <wp:cNvGraphicFramePr>
              <a:graphicFrameLocks noChangeAspect="1"/>
            </wp:cNvGraphicFramePr>
            <a:graphic>
              <a:graphicData uri="http://schemas.openxmlformats.org/drawingml/2006/picture">
                <pic:pic>
                  <pic:nvPicPr>
                    <pic:cNvPr id="0" name="4c9cb9622c69436283f799486e5a9e6ae4b06938d98af063642988a78bc1237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r-rater agreement"/>
            <wp:cNvGraphicFramePr>
              <a:graphicFrameLocks noChangeAspect="1"/>
            </wp:cNvGraphicFramePr>
            <a:graphic>
              <a:graphicData uri="http://schemas.openxmlformats.org/drawingml/2006/picture">
                <pic:pic>
                  <pic:nvPicPr>
                    <pic:cNvPr id="0" name="b947fc078698385b1d9c01218392acd0396b81ded74505ffcbd4bb7b4e2378f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00423e299ebd6a7fc6d75d2f612eb1d70777c6262416d8b6dadeb0ae36fa585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dimension</w:t>
            </w:r>
          </w:p>
        </w:tc>
        <w:tc>
          <w:tcPr>
            <w:tcW w:type="dxa" w:w="3408"/>
          </w:tcPr>
          <w:p>
            <w:r>
              <w:t>One component or axis of a representation, such as one feature in a vector.</w:t>
            </w:r>
          </w:p>
        </w:tc>
        <w:tc>
          <w:tcPr>
            <w:tcW w:type="dxa" w:w="3408"/>
          </w:tcPr>
          <w:p>
            <w:r/>
          </w:p>
        </w:tc>
      </w:tr>
      <w:tr>
        <w:tc>
          <w:tcPr>
            <w:tcW w:type="dxa" w:w="3408"/>
          </w:tcPr>
          <w:p>
            <w:r>
              <w:t>anchor</w:t>
            </w:r>
          </w:p>
        </w:tc>
        <w:tc>
          <w:tcPr>
            <w:tcW w:type="dxa" w:w="3408"/>
          </w:tcPr>
          <w:p>
            <w:r>
              <w:t>A reference example used to make a judgment or scoring standard concrete.</w:t>
            </w:r>
          </w:p>
        </w:tc>
        <w:tc>
          <w:tcPr>
            <w:tcW w:type="dxa" w:w="3408"/>
          </w:tcPr>
          <w:p>
            <w:r/>
          </w:p>
        </w:tc>
      </w:tr>
      <w:tr>
        <w:tc>
          <w:tcPr>
            <w:tcW w:type="dxa" w:w="3408"/>
          </w:tcPr>
          <w:p>
            <w:r>
              <w:t>inter-rater agreement</w:t>
            </w:r>
          </w:p>
        </w:tc>
        <w:tc>
          <w:tcPr>
            <w:tcW w:type="dxa" w:w="3408"/>
          </w:tcPr>
          <w:p>
            <w:r>
              <w:t>The extent to which different labelers give matching judgments on the same cases.</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Quality Rubrics"/>
            <wp:cNvGraphicFramePr>
              <a:graphicFrameLocks noChangeAspect="1"/>
            </wp:cNvGraphicFramePr>
            <a:graphic>
              <a:graphicData uri="http://schemas.openxmlformats.org/drawingml/2006/picture">
                <pic:pic>
                  <pic:nvPicPr>
                    <pic:cNvPr id="0" name="0ffa897643215e6100ce4babe9b29026ada68289928827c1ecdb73e5c335272a.png"/>
                    <pic:cNvPicPr/>
                  </pic:nvPicPr>
                  <pic:blipFill>
                    <a:blip r:embed="rId21"/>
                    <a:stretch>
                      <a:fillRect/>
                    </a:stretch>
                  </pic:blipFill>
                  <pic:spPr>
                    <a:xfrm>
                      <a:off x="0" y="0"/>
                      <a:ext cx="5486400" cy="2377440"/>
                    </a:xfrm>
                    <a:prstGeom prst="rect"/>
                  </pic:spPr>
                </pic:pic>
              </a:graphicData>
            </a:graphic>
          </wp:inline>
        </w:drawing>
      </w:r>
    </w:p>
    <w:p>
      <w:r>
        <w:t>1. Output is clear and useful but contains one unsupported claim.</w:t>
      </w:r>
    </w:p>
    <w:p>
      <w:r>
        <w:t>2. Clarity=4 does not cancel correctness=1.</w:t>
      </w:r>
    </w:p>
    <w:p>
      <w:r>
        <w:t>3. Score each dimension using observable anchors.</w:t>
      </w:r>
    </w:p>
    <w:p>
      <w:r>
        <w:t>4. Discuss scorer disagreements and refine ambiguous anchors.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Quality Rubrics</w:t>
      </w:r>
    </w:p>
    <w:p>
      <w:r>
        <w:t>Use a quality rubric whose safety gate cannot be traded for attractive formatting.</w:t>
      </w:r>
    </w:p>
    <w:p>
      <w:pPr>
        <w:pStyle w:val="Heading3"/>
      </w:pPr>
      <w:r>
        <w:t>The facts we will use</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r>
        <w:t>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What this example does not establish</w:t>
      </w:r>
    </w:p>
    <w:p>
      <w:r>
        <w:t>Passing this small rubric does not establish readability, completeness or benefit across every pupil and question.</w:t>
      </w:r>
    </w:p>
    <w:p>
      <w:r>
        <w:t>Read the labelled picture: Why is “one out of two checks passed” an insufficient release decision? Point to the relevant step in the picture, then write the changed result and the rule or evidence that supports it.</w:t>
      </w:r>
    </w:p>
    <w:p>
      <w:r>
        <w:t>Change one thing: Remove the unsupported sentence while preserving the supported one.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Quality Rubrics"/>
            <wp:cNvGraphicFramePr>
              <a:graphicFrameLocks noChangeAspect="1"/>
            </wp:cNvGraphicFramePr>
            <a:graphic>
              <a:graphicData uri="http://schemas.openxmlformats.org/drawingml/2006/picture">
                <pic:pic>
                  <pic:nvPicPr>
                    <pic:cNvPr id="0" name="76ead30b2195926fa468e94ab48383116dc1d2d85d9960400024889808b9ae1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Quality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Evaluation coverage limits the claim; prompts tuned on these cases need new reserved final cases.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“System evaluation sets”.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System evaluation sets.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“one out of two checks passed” an insufficient release decision?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Quality Rubrics"/>
            <wp:cNvGraphicFramePr>
              <a:graphicFrameLocks noChangeAspect="1"/>
            </wp:cNvGraphicFramePr>
            <a:graphic>
              <a:graphicData uri="http://schemas.openxmlformats.org/drawingml/2006/picture">
                <pic:pic>
                  <pic:nvPicPr>
                    <pic:cNvPr id="0" name="51adab60f19c9a01b6cfde49021c29e3547897d872d02008e8a9678eb65d5f27.png"/>
                    <pic:cNvPicPr/>
                  </pic:nvPicPr>
                  <pic:blipFill>
                    <a:blip r:embed="rId25"/>
                    <a:stretch>
                      <a:fillRect/>
                    </a:stretch>
                  </pic:blipFill>
                  <pic:spPr>
                    <a:xfrm>
                      <a:off x="0" y="0"/>
                      <a:ext cx="5486400" cy="1901952"/>
                    </a:xfrm>
                    <a:prstGeom prst="rect"/>
                  </pic:spPr>
                </pic:pic>
              </a:graphicData>
            </a:graphic>
          </wp:inline>
        </w:drawing>
      </w:r>
    </w:p>
    <w:p>
      <w:r>
        <w:t>Score three outputs independently, compare by dimension, cite evidence for each score, and improve one weak anchor.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Quality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Quality Rubrics"/>
            <wp:cNvGraphicFramePr>
              <a:graphicFrameLocks noChangeAspect="1"/>
            </wp:cNvGraphicFramePr>
            <a:graphic>
              <a:graphicData uri="http://schemas.openxmlformats.org/drawingml/2006/picture">
                <pic:pic>
                  <pic:nvPicPr>
                    <pic:cNvPr id="0" name="6a09586e934ec5ac352e23f6557c707e80f11f786aa5fe01ff4a216b146bed9d.png"/>
                    <pic:cNvPicPr/>
                  </pic:nvPicPr>
                  <pic:blipFill>
                    <a:blip r:embed="rId27"/>
                    <a:stretch>
                      <a:fillRect/>
                    </a:stretch>
                  </pic:blipFill>
                  <pic:spPr>
                    <a:xfrm>
                      <a:off x="0" y="0"/>
                      <a:ext cx="5486400" cy="1901952"/>
                    </a:xfrm>
                    <a:prstGeom prst="rect"/>
                  </pic:spPr>
                </pic:pic>
              </a:graphicData>
            </a:graphic>
          </wp:inline>
        </w:drawing>
      </w:r>
    </w:p>
    <w:p>
      <w:r>
        <w:t>THIS WEEK’S CHECKPOINT  Use a five-dimension rubric and block release when correctness or safety is below threshold.</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Quality Rubrics"/>
            <wp:cNvGraphicFramePr>
              <a:graphicFrameLocks noChangeAspect="1"/>
            </wp:cNvGraphicFramePr>
            <a:graphic>
              <a:graphicData uri="http://schemas.openxmlformats.org/drawingml/2006/picture">
                <pic:pic>
                  <pic:nvPicPr>
                    <pic:cNvPr id="0" name="4c3259a90e43ecb425aa71f9d1cc4d477eb99ae32a8ef88227a8dd93b57bf724.png"/>
                    <pic:cNvPicPr/>
                  </pic:nvPicPr>
                  <pic:blipFill>
                    <a:blip r:embed="rId28"/>
                    <a:stretch>
                      <a:fillRect/>
                    </a:stretch>
                  </pic:blipFill>
                  <pic:spPr>
                    <a:xfrm>
                      <a:off x="0" y="0"/>
                      <a:ext cx="5486400" cy="1901952"/>
                    </a:xfrm>
                    <a:prstGeom prst="rect"/>
                  </pic:spPr>
                </pic:pic>
              </a:graphicData>
            </a:graphic>
          </wp:inline>
        </w:drawing>
      </w:r>
    </w:p>
    <w:p>
      <w:r>
        <w:t>CHALLENGE  Score outputs and justify disagreements with evidence.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Rubric gives 0–2 each for support, usefulness and safety. Response is useful and safe but unsupported.</w:t>
      </w:r>
    </w:p>
    <w:p>
      <w:pPr>
        <w:pStyle w:val="Heading3"/>
      </w:pPr>
      <w:r>
        <w:t>The question</w:t>
      </w:r>
    </w:p>
    <w:p>
      <w:r>
        <w:t>Why can a total mislead?</w:t>
      </w:r>
    </w:p>
    <w:p>
      <w:pPr>
        <w:pStyle w:val="Heading3"/>
      </w:pPr>
      <w:r>
        <w:t>Worked explanation</w:t>
      </w:r>
    </w:p>
    <w:p>
      <w:r>
        <w:t>It may get 4/6 while failing essential support. Declare mandatory criteria before testing so other points cannot compensate.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total can hide a required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Support</w:t>
            </w:r>
          </w:p>
        </w:tc>
        <w:tc>
          <w:tcPr>
            <w:tcW w:type="dxa" w:w="5112"/>
          </w:tcPr>
          <w:p>
            <w:r>
              <w:t>0</w:t>
            </w:r>
          </w:p>
        </w:tc>
      </w:tr>
      <w:tr>
        <w:tc>
          <w:tcPr>
            <w:tcW w:type="dxa" w:w="5112"/>
          </w:tcPr>
          <w:p>
            <w:r>
              <w:t>Usefulness</w:t>
            </w:r>
          </w:p>
        </w:tc>
        <w:tc>
          <w:tcPr>
            <w:tcW w:type="dxa" w:w="5112"/>
          </w:tcPr>
          <w:p>
            <w:r>
              <w:t>2</w:t>
            </w:r>
          </w:p>
        </w:tc>
      </w:tr>
      <w:tr>
        <w:tc>
          <w:tcPr>
            <w:tcW w:type="dxa" w:w="5112"/>
          </w:tcPr>
          <w:p>
            <w:r>
              <w:t>Safety</w:t>
            </w:r>
          </w:p>
        </w:tc>
        <w:tc>
          <w:tcPr>
            <w:tcW w:type="dxa" w:w="5112"/>
          </w:tcPr>
          <w:p>
            <w:r>
              <w:t>2</w:t>
            </w:r>
          </w:p>
        </w:tc>
      </w:tr>
    </w:tbl>
    <w:p>
      <w:r>
        <w:t>Rubric gives 0–2 each for support, usefulness and safety. Response is useful and safe but unsupported.</w:t>
      </w:r>
    </w:p>
    <w:p>
      <w:r>
        <w:t>Why can a total mislead?</w:t>
      </w:r>
    </w:p>
    <w:p>
      <w:r>
        <w:t>It may get 4/6 while failing essential support. Declare mandatory criteria before testing so other points cannot compensate.</w:t>
      </w:r>
    </w:p>
    <w:p>
      <w:pPr>
        <w:pStyle w:val="Heading1"/>
      </w:pPr>
      <w:r>
        <w:t>14. Try a new case independently</w:t>
      </w:r>
    </w:p>
    <w:p>
      <w:pPr>
        <w:pStyle w:val="Heading3"/>
      </w:pPr>
      <w:r>
        <w:t>Independent case: Apply a new case independently</w:t>
      </w:r>
    </w:p>
    <w:p>
      <w: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Two answers have equally polished language. One has three supported claims; the other has two supported claims and one invented claim. How should a quality rubric distinguish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five-dimension rubric and block release when correctness or safety is below threshold.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answer earns 2 for format, 2 for tone and 0 for source support. It gets 4/6. Is it acceptable for a source-only assistant? Revise the rubric's decision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a quality rubric whose safety gate cannot be traded for attractive formatting.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system evaluation sets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Use a quality rubric whose safety gate cannot be traded for attractive formatting.</w:t>
      </w:r>
    </w:p>
    <w:p>
      <w:pPr>
        <w:pStyle w:val="Heading3"/>
      </w:pPr>
      <w:r>
        <w:t>Practice 1: explain the deciding evidence</w:t>
      </w:r>
    </w:p>
    <w:p>
      <w:r>
        <w:t>Which labelled step matches this detail? Reject the answer for unsupported content despite its correct length.</w:t>
      </w:r>
    </w:p>
    <w:p>
      <w:r>
        <w:t>1. Check format</w:t>
      </w:r>
    </w:p>
    <w:p>
      <w:r>
        <w:t>2. Apply gate</w:t>
      </w:r>
    </w:p>
    <w:p>
      <w: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gate Reject the answer for unsupported content despite its correct length. 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Practice 2: explain the deciding evidence</w:t>
      </w:r>
    </w:p>
    <w:p>
      <w:r>
        <w:t>Changed-case practice: Remove the unsupported sentence while preserving the supported one. Which conclusion is supported by the supplied facts?</w:t>
      </w:r>
    </w:p>
    <w:p>
      <w:r>
        <w:t>1. The revised one-sentence answer passes these two declared checks.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revised one-sentence answer passes these two declared checks. The remaining claim is supported and one sentence is within the maximum.</w:t>
      </w:r>
    </w:p>
    <w:p>
      <w:pPr>
        <w:pStyle w:val="Heading3"/>
      </w:pPr>
      <w:r>
        <w:t>Repair a missing building block</w:t>
      </w:r>
    </w:p>
    <w:p>
      <w:r>
        <w:t>Review Prototype a Grounded Assistant (ai-3/24). Goal: Explain the mechanism and terminology of capstone grounded assistant. Short practice: Can PL2 alone support “check the soil daily”? Point to the relevant step in the picture, then write the changed result and the rule or evidence that supports it.. Return to this week and explain what you changed.</w:t>
      </w:r>
    </w:p>
    <w:p>
      <w:r>
        <w:t>Review Requests Responses and JSON (ai-3/22). Goal: Parse JSON into Python records. Short practice: Would converting the text silently prove the source count is correct? Point to the relevant step in the picture, then write the changed result and the rule or evidence that supports it.. Return to this week and explain what you changed.</w:t>
      </w:r>
    </w:p>
    <w:p>
      <w:r>
        <w:t>Review User Need and AI Contribution (ai-3/19). Goal: Explain the mechanism and terminology of capstone requirements and corpus. Short practice: What non-AI baseline would reveal whether this helper adds value?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