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ai-3/29</w:t>
      </w:r>
    </w:p>
    <w:p>
      <w:pPr>
        <w:pStyle w:val="Title"/>
      </w:pPr>
      <w:r>
        <w:t>Copyright and Provenance</w:t>
      </w:r>
    </w:p>
    <w:p>
      <w:r>
        <w:t>Project: Verified Study Buddy</w:t>
      </w:r>
    </w:p>
    <w:p>
      <w:pPr>
        <w:pStyle w:val="Heading1"/>
      </w:pPr>
      <w:r>
        <w:t>Before you start</w:t>
      </w:r>
    </w:p>
    <w:p>
      <w:r>
        <w:t>Week 15: source identity and trust are distinct from permission.</w:t>
      </w:r>
    </w:p>
    <w:p>
      <w:pPr>
        <w:pStyle w:val="Heading1"/>
      </w:pPr>
      <w:r>
        <w:t>01. Your mission</w:t>
      </w:r>
    </w:p>
    <w:p>
      <w:pPr>
        <w:pStyle w:val="Heading3"/>
      </w:pPr>
      <w:r>
        <w:t>Your learning target</w:t>
      </w:r>
    </w:p>
    <w:p>
      <w:r>
        <w:t>I can explain the mechanism and terminology of copyright and permitted sources.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Privacy by Design. Give an example and a mistake that the idea helps you avoid.</w:t>
      </w:r>
    </w:p>
    <w:p>
      <w:r>
        <w:t>Without opening the old lesson, explain one key idea from Evaluation Sets. Give an example and a mistake that the idea helps you avoid.</w:t>
      </w:r>
    </w:p>
    <w:p>
      <w:r>
        <w:t>Without opening the old lesson, explain one key idea from Block to Python Bridge. Give an example and a mistake that the idea helps you avoid.</w:t>
      </w:r>
    </w:p>
    <w:p>
      <w:r>
        <w:t>After trying, check the relevant lesson or ask your teacher. Change the part of your explanation that the evidence shows was wrong.</w:t>
      </w:r>
    </w:p>
    <w:p>
      <w:r>
        <w:t>Week 29: Copyright and Provenance</w:t>
      </w:r>
    </w:p>
    <w:p>
      <w:r>
        <w:t>Responsible creation distinguishes source material, transformation, attribution, and generated content.</w:t>
      </w:r>
    </w:p>
    <w:p>
      <w:r>
        <w:drawing>
          <wp:inline xmlns:a="http://schemas.openxmlformats.org/drawingml/2006/main" xmlns:pic="http://schemas.openxmlformats.org/drawingml/2006/picture">
            <wp:extent cx="2942705" cy="2942705"/>
            <wp:docPr id="1" name="Picture 1" descr="Week 29 illustration: Copyright and Provenance"/>
            <wp:cNvGraphicFramePr>
              <a:graphicFrameLocks noChangeAspect="1"/>
            </wp:cNvGraphicFramePr>
            <a:graphic>
              <a:graphicData uri="http://schemas.openxmlformats.org/drawingml/2006/picture">
                <pic:pic>
                  <pic:nvPicPr>
                    <pic:cNvPr id="0" name="b03a88d000892a291fea99dd542b2210063c484462b7528b55445050b9c9e72f.png"/>
                    <pic:cNvPicPr/>
                  </pic:nvPicPr>
                  <pic:blipFill>
                    <a:blip r:embed="rId9"/>
                    <a:stretch>
                      <a:fillRect/>
                    </a:stretch>
                  </pic:blipFill>
                  <pic:spPr>
                    <a:xfrm>
                      <a:off x="0" y="0"/>
                      <a:ext cx="2942705" cy="2942705"/>
                    </a:xfrm>
                    <a:prstGeom prst="rect"/>
                  </pic:spPr>
                </pic:pic>
              </a:graphicData>
            </a:graphic>
          </wp:inline>
        </w:drawing>
      </w:r>
    </w:p>
    <w:p>
      <w:r>
        <w:t>CREATOR MISSION</w:t>
      </w:r>
    </w:p>
    <w:p>
      <w:r>
        <w:t>Create a provenance record for a mixed-media output.</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Conversation state and retention. Explain why a recorded result needs its input conditions and evidence source before it can support a claim.</w:t>
      </w:r>
    </w:p>
    <w:p>
      <w:pPr>
        <w:pStyle w:val="Heading3"/>
      </w:pPr>
      <w:r>
        <w:t>This week’s end goal</w:t>
      </w:r>
    </w:p>
    <w:p>
      <w:r>
        <w:t>By the end, I can explain copyright and provenance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opyright and Provenance"/>
            <wp:cNvGraphicFramePr>
              <a:graphicFrameLocks noChangeAspect="1"/>
            </wp:cNvGraphicFramePr>
            <a:graphic>
              <a:graphicData uri="http://schemas.openxmlformats.org/drawingml/2006/picture">
                <pic:pic>
                  <pic:nvPicPr>
                    <pic:cNvPr id="0" name="b03a88d000892a291fea99dd542b2210063c484462b7528b55445050b9c9e72f.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copyright and provenance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Permission to access a work and permission to redistribute or modify it are separate. Use a classroom licence ledger instead of assuming all online material is reusable.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opyright and Provenance"/>
            <wp:cNvGraphicFramePr>
              <a:graphicFrameLocks noChangeAspect="1"/>
            </wp:cNvGraphicFramePr>
            <a:graphic>
              <a:graphicData uri="http://schemas.openxmlformats.org/drawingml/2006/picture">
                <pic:pic>
                  <pic:nvPicPr>
                    <pic:cNvPr id="0" name="74c3b920f3daa8eca6ce8e0d2566270ce889443a26e16c4191bdb06f2213918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opyright and Provenance"/>
            <wp:cNvGraphicFramePr>
              <a:graphicFrameLocks noChangeAspect="1"/>
            </wp:cNvGraphicFramePr>
            <a:graphic>
              <a:graphicData uri="http://schemas.openxmlformats.org/drawingml/2006/picture">
                <pic:pic>
                  <pic:nvPicPr>
                    <pic:cNvPr id="0" name="0f66bb658c86accfe7c2846c446787313a2f6411ac1b1be6c70bea8cbd5bb76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opyright and Provenance"/>
            <wp:cNvGraphicFramePr>
              <a:graphicFrameLocks noChangeAspect="1"/>
            </wp:cNvGraphicFramePr>
            <a:graphic>
              <a:graphicData uri="http://schemas.openxmlformats.org/drawingml/2006/picture">
                <pic:pic>
                  <pic:nvPicPr>
                    <pic:cNvPr id="0" name="a7358238716b3fe65be578dc5d5eb0e2594470fee2a02524794b2f8860dc511e.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p>
      <w:pPr>
        <w:pStyle w:val="Heading3"/>
      </w:pPr>
      <w:r>
        <w:t>Copyright and permitted sources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Image A has L; image B has M. The project is a publicly downloadable adapted poster.</w:t>
            </w:r>
          </w:p>
        </w:tc>
        <w:tc>
          <w:tcPr>
            <w:tcW w:type="dxa" w:w="3408"/>
          </w:tcPr>
          <w:p>
            <w:r>
              <w:t>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tc>
        <w:tc>
          <w:tcPr>
            <w:tcW w:type="dxa" w:w="3408"/>
          </w:tcPr>
          <w:p>
            <w:r>
              <w:t>A is not permitted for this use under L. B is permitted under the supplied M terms with attribution. Keep licence version and provenance.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Fern unchanged and include the required attribution.</w:t>
      </w:r>
    </w:p>
    <w:p>
      <w:r>
        <w:t>Prediction: That use satisfies the stated fictional permission conditions.</w:t>
      </w:r>
    </w:p>
    <w:p>
      <w:r>
        <w:t>Reason: Its public redistribution is permitted when there is no alteration and attribution is included.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opyright"/>
            <wp:cNvGraphicFramePr>
              <a:graphicFrameLocks noChangeAspect="1"/>
            </wp:cNvGraphicFramePr>
            <a:graphic>
              <a:graphicData uri="http://schemas.openxmlformats.org/drawingml/2006/picture">
                <pic:pic>
                  <pic:nvPicPr>
                    <pic:cNvPr id="0" name="41d83fc3b590bc58eb548b500da2cd9abc759c4495cc6a8efca012382c9b8b2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provenance"/>
            <wp:cNvGraphicFramePr>
              <a:graphicFrameLocks noChangeAspect="1"/>
            </wp:cNvGraphicFramePr>
            <a:graphic>
              <a:graphicData uri="http://schemas.openxmlformats.org/drawingml/2006/picture">
                <pic:pic>
                  <pic:nvPicPr>
                    <pic:cNvPr id="0" name="b1c04fdd9bbda39c407f42a81b4ad5e566cac99bd3496dd48c599cf04226d3fb.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ttribution"/>
            <wp:cNvGraphicFramePr>
              <a:graphicFrameLocks noChangeAspect="1"/>
            </wp:cNvGraphicFramePr>
            <a:graphic>
              <a:graphicData uri="http://schemas.openxmlformats.org/drawingml/2006/picture">
                <pic:pic>
                  <pic:nvPicPr>
                    <pic:cNvPr id="0" name="004b75afed0fa8dda2f1bbc574b5d198ef75392c9b67aad68153a26dfa38dae3.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license"/>
            <wp:cNvGraphicFramePr>
              <a:graphicFrameLocks noChangeAspect="1"/>
            </wp:cNvGraphicFramePr>
            <a:graphic>
              <a:graphicData uri="http://schemas.openxmlformats.org/drawingml/2006/picture">
                <pic:pic>
                  <pic:nvPicPr>
                    <pic:cNvPr id="0" name="bd4953bf36f6e35fa8cd8aa1f7b4b04c39edd1d7a434d17b1f4c3686ce94b8ea.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copyright</w:t>
            </w:r>
          </w:p>
        </w:tc>
        <w:tc>
          <w:tcPr>
            <w:tcW w:type="dxa" w:w="3408"/>
          </w:tcPr>
          <w:p>
            <w:r>
              <w:t>Legal rights concerning original creative expression; the permitted uses depend on the applicable rules and permissions.</w:t>
            </w:r>
          </w:p>
        </w:tc>
        <w:tc>
          <w:tcPr>
            <w:tcW w:type="dxa" w:w="3408"/>
          </w:tcPr>
          <w:p>
            <w:r/>
          </w:p>
        </w:tc>
      </w:tr>
      <w:tr>
        <w:tc>
          <w:tcPr>
            <w:tcW w:type="dxa" w:w="3408"/>
          </w:tcPr>
          <w:p>
            <w:r>
              <w:t>provenance</w:t>
            </w:r>
          </w:p>
        </w:tc>
        <w:tc>
          <w:tcPr>
            <w:tcW w:type="dxa" w:w="3408"/>
          </w:tcPr>
          <w:p>
            <w:r>
              <w:t>A record of where information or material came from and how it was changed.</w:t>
            </w:r>
          </w:p>
        </w:tc>
        <w:tc>
          <w:tcPr>
            <w:tcW w:type="dxa" w:w="3408"/>
          </w:tcPr>
          <w:p>
            <w:r/>
          </w:p>
        </w:tc>
      </w:tr>
      <w:tr>
        <w:tc>
          <w:tcPr>
            <w:tcW w:type="dxa" w:w="3408"/>
          </w:tcPr>
          <w:p>
            <w:r>
              <w:t>attribution</w:t>
            </w:r>
          </w:p>
        </w:tc>
        <w:tc>
          <w:tcPr>
            <w:tcW w:type="dxa" w:w="3408"/>
          </w:tcPr>
          <w:p>
            <w:r>
              <w:t>Identifying the source or creator of material; this alone does not establish permission to use it.</w:t>
            </w:r>
          </w:p>
        </w:tc>
        <w:tc>
          <w:tcPr>
            <w:tcW w:type="dxa" w:w="3408"/>
          </w:tcPr>
          <w:p>
            <w:r/>
          </w:p>
        </w:tc>
      </w:tr>
      <w:tr>
        <w:tc>
          <w:tcPr>
            <w:tcW w:type="dxa" w:w="3408"/>
          </w:tcPr>
          <w:p>
            <w:r>
              <w:t>license</w:t>
            </w:r>
          </w:p>
        </w:tc>
        <w:tc>
          <w:tcPr>
            <w:tcW w:type="dxa" w:w="3408"/>
          </w:tcPr>
          <w:p>
            <w:r>
              <w:t>Terms granting specified permissions to use material or software.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Licence</w:t>
            </w:r>
          </w:p>
        </w:tc>
        <w:tc>
          <w:tcPr>
            <w:tcW w:type="dxa" w:w="5112"/>
          </w:tcPr>
          <w:p>
            <w:r>
              <w:t>Terms specifying permitted uses</w:t>
            </w:r>
          </w:p>
        </w:tc>
      </w:tr>
      <w:tr>
        <w:tc>
          <w:tcPr>
            <w:tcW w:type="dxa" w:w="5112"/>
          </w:tcPr>
          <w:p>
            <w:r>
              <w:t>Permission ledger</w:t>
            </w:r>
          </w:p>
        </w:tc>
        <w:tc>
          <w:tcPr>
            <w:tcW w:type="dxa" w:w="5112"/>
          </w:tcPr>
          <w:p>
            <w:r>
              <w:t>A record linking each asset to its authorised use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opyright and Provenance"/>
            <wp:cNvGraphicFramePr>
              <a:graphicFrameLocks noChangeAspect="1"/>
            </wp:cNvGraphicFramePr>
            <a:graphic>
              <a:graphicData uri="http://schemas.openxmlformats.org/drawingml/2006/picture">
                <pic:pic>
                  <pic:nvPicPr>
                    <pic:cNvPr id="0" name="cff726f65445ffc75b95f10c60f0c7596ba1a7413f59f665248275df1d6c2f40.png"/>
                    <pic:cNvPicPr/>
                  </pic:nvPicPr>
                  <pic:blipFill>
                    <a:blip r:embed="rId21"/>
                    <a:stretch>
                      <a:fillRect/>
                    </a:stretch>
                  </pic:blipFill>
                  <pic:spPr>
                    <a:xfrm>
                      <a:off x="0" y="0"/>
                      <a:ext cx="5486400" cy="2377440"/>
                    </a:xfrm>
                    <a:prstGeom prst="rect"/>
                  </pic:spPr>
                </pic:pic>
              </a:graphicData>
            </a:graphic>
          </wp:inline>
        </w:drawing>
      </w:r>
    </w:p>
    <w:p>
      <w:r>
        <w:t>1. Source paragraph is quoted within allowed classroom use and cited.</w:t>
      </w:r>
    </w:p>
    <w:p>
      <w:r>
        <w:t>2. Student summary is a transformation but still names the source.</w:t>
      </w:r>
    </w:p>
    <w:p>
      <w:r>
        <w:t>3. Generated image is labeled as generated.</w:t>
      </w:r>
    </w:p>
    <w:p>
      <w:r>
        <w:t>4. Provenance record stores creator/source, license or permission, transformation, and use.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Image A has L; image B has M. The project is a publicly downloadable adapted poster.</w:t>
      </w:r>
    </w:p>
    <w:p>
      <w:r>
        <w:t>A is not permitted for this use under L. B is permitted under the supplied M terms with attribution. Keep licence version and provenance.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Copyright and Provenance</w:t>
      </w:r>
    </w:p>
    <w:p>
      <w:r>
        <w:t>Read fictional reuse terms before decorating a public study guide.</w:t>
      </w:r>
    </w:p>
    <w:p>
      <w:pPr>
        <w:pStyle w:val="Heading3"/>
      </w:pPr>
      <w:r>
        <w:t>The facts we will use</w:t>
      </w:r>
    </w:p>
    <w:p>
      <w:r>
        <w:t>Image Fern allows public redistribution with attribution but no alteration. Image Moss allows alteration and public redistribution with attribution. The plan crops an image.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Copyright and Provenance. Read terms: Fern excludes alteration; Moss permits it.. Match proposed use: Cropping is an alteration in these declared toy terms.. Choose eligible asset: Use Moss with its required attribution; do not crop Fern for this public guide."/>
            <wp:cNvGraphicFramePr>
              <a:graphicFrameLocks noChangeAspect="1"/>
            </wp:cNvGraphicFramePr>
            <a:graphic>
              <a:graphicData uri="http://schemas.openxmlformats.org/drawingml/2006/picture">
                <pic:pic>
                  <pic:nvPicPr>
                    <pic:cNvPr id="0" name="academy-visual-ai-3-29.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terms</w:t>
            </w:r>
          </w:p>
        </w:tc>
        <w:tc>
          <w:tcPr>
            <w:tcW w:type="dxa" w:w="5112"/>
          </w:tcPr>
          <w:p>
            <w:r>
              <w:t>Fern excludes alteration; Moss permits it.</w:t>
            </w:r>
          </w:p>
        </w:tc>
      </w:tr>
      <w:tr>
        <w:tc>
          <w:tcPr>
            <w:tcW w:type="dxa" w:w="5112"/>
          </w:tcPr>
          <w:p>
            <w:r>
              <w:t>2. Match proposed use</w:t>
            </w:r>
          </w:p>
        </w:tc>
        <w:tc>
          <w:tcPr>
            <w:tcW w:type="dxa" w:w="5112"/>
          </w:tcPr>
          <w:p>
            <w:r>
              <w:t>Cropping is an alteration in these declared toy terms.</w:t>
            </w:r>
          </w:p>
        </w:tc>
      </w:tr>
      <w:tr>
        <w:tc>
          <w:tcPr>
            <w:tcW w:type="dxa" w:w="5112"/>
          </w:tcPr>
          <w:p>
            <w:r>
              <w:t>3. Choose eligible asset</w:t>
            </w:r>
          </w:p>
        </w:tc>
        <w:tc>
          <w:tcPr>
            <w:tcW w:type="dxa" w:w="5112"/>
          </w:tcPr>
          <w:p>
            <w:r>
              <w:t>Use Moss with its required attribution; do not crop Fern for this public guide.</w:t>
            </w:r>
          </w:p>
        </w:tc>
      </w:tr>
    </w:tbl>
    <w:p>
      <w:r>
        <w:t>Match each pictured step to the supplied facts. This is a worked teaching case, not an independent assessment.</w:t>
      </w:r>
    </w:p>
    <w:p>
      <w:pPr>
        <w:pStyle w:val="Heading3"/>
      </w:pPr>
      <w:r>
        <w:t>Why this result follows</w:t>
      </w:r>
    </w:p>
    <w:p>
      <w:r>
        <w:t>Read the picture in order. Use Moss with its required attribution; do not crop Fern for this public guide.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Real permission decisions require the actual licence and use context. These invented terms teach condition matching, not legal advice.</w:t>
      </w:r>
    </w:p>
    <w:p>
      <w:r>
        <w:t>Read the labelled picture: Does acknowledging Fern make a cropped version permitted? Point to the relevant step in the picture, then write the changed result and the rule or evidence that supports it.</w:t>
      </w:r>
    </w:p>
    <w:p>
      <w:r>
        <w:t>Change one thing: Use Fern unchanged and include the required attribution.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opyright and Provenance"/>
            <wp:cNvGraphicFramePr>
              <a:graphicFrameLocks noChangeAspect="1"/>
            </wp:cNvGraphicFramePr>
            <a:graphic>
              <a:graphicData uri="http://schemas.openxmlformats.org/drawingml/2006/picture">
                <pic:pic>
                  <pic:nvPicPr>
                    <pic:cNvPr id="0" name="b503701b47090d480ec097b1da79906d17b047a9f5f46df814772744c94b8dcd.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opyright and Provenanc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Real legal outcomes depend on jurisdiction and facts; supplied licence terms define this classroom exercise, not universal copyright law.</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“Copyright and permitted sources”.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Copyright and permitted sources.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acknowledging Fern make a cropped version permitted?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opyright and Provenance"/>
            <wp:cNvGraphicFramePr>
              <a:graphicFrameLocks noChangeAspect="1"/>
            </wp:cNvGraphicFramePr>
            <a:graphic>
              <a:graphicData uri="http://schemas.openxmlformats.org/drawingml/2006/picture">
                <pic:pic>
                  <pic:nvPicPr>
                    <pic:cNvPr id="0" name="ceb452850aaea3380954d1ba5c5f36e258c96375b2fc0a6efc511dd67ab0fdf1.png"/>
                    <pic:cNvPicPr/>
                  </pic:nvPicPr>
                  <pic:blipFill>
                    <a:blip r:embed="rId25"/>
                    <a:stretch>
                      <a:fillRect/>
                    </a:stretch>
                  </pic:blipFill>
                  <pic:spPr>
                    <a:xfrm>
                      <a:off x="0" y="0"/>
                      <a:ext cx="5486400" cy="1901952"/>
                    </a:xfrm>
                    <a:prstGeom prst="rect"/>
                  </pic:spPr>
                </pic:pic>
              </a:graphicData>
            </a:graphic>
          </wp:inline>
        </w:drawing>
      </w:r>
    </w:p>
    <w:p>
      <w:r>
        <w:t>Inspect a mixed project, classify original/quoted/transformed/generated parts, check permission, and build a complete provenance record.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opyright and Provenanc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opyright and Provenance"/>
            <wp:cNvGraphicFramePr>
              <a:graphicFrameLocks noChangeAspect="1"/>
            </wp:cNvGraphicFramePr>
            <a:graphic>
              <a:graphicData uri="http://schemas.openxmlformats.org/drawingml/2006/picture">
                <pic:pic>
                  <pic:nvPicPr>
                    <pic:cNvPr id="0" name="6256116d1e330f30e75e268d64d06c6267867cdbda231510a41cc81cf3d8a123.png"/>
                    <pic:cNvPicPr/>
                  </pic:nvPicPr>
                  <pic:blipFill>
                    <a:blip r:embed="rId27"/>
                    <a:stretch>
                      <a:fillRect/>
                    </a:stretch>
                  </pic:blipFill>
                  <pic:spPr>
                    <a:xfrm>
                      <a:off x="0" y="0"/>
                      <a:ext cx="5486400" cy="1901952"/>
                    </a:xfrm>
                    <a:prstGeom prst="rect"/>
                  </pic:spPr>
                </pic:pic>
              </a:graphicData>
            </a:graphic>
          </wp:inline>
        </w:drawing>
      </w:r>
    </w:p>
    <w:p>
      <w:r>
        <w:t>THIS WEEK’S CHECKPOINT  Attach citations and provenance metadata to every Study Buddy learning asset.</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opyright and Provenance"/>
            <wp:cNvGraphicFramePr>
              <a:graphicFrameLocks noChangeAspect="1"/>
            </wp:cNvGraphicFramePr>
            <a:graphic>
              <a:graphicData uri="http://schemas.openxmlformats.org/drawingml/2006/picture">
                <pic:pic>
                  <pic:nvPicPr>
                    <pic:cNvPr id="0" name="0bd050f0e5994e40d81cb2cb470d8385f9db802fd439c511dbed47b2255e1999.png"/>
                    <pic:cNvPicPr/>
                  </pic:nvPicPr>
                  <pic:blipFill>
                    <a:blip r:embed="rId28"/>
                    <a:stretch>
                      <a:fillRect/>
                    </a:stretch>
                  </pic:blipFill>
                  <pic:spPr>
                    <a:xfrm>
                      <a:off x="0" y="0"/>
                      <a:ext cx="5486400" cy="1901952"/>
                    </a:xfrm>
                    <a:prstGeom prst="rect"/>
                  </pic:spPr>
                </pic:pic>
              </a:graphicData>
            </a:graphic>
          </wp:inline>
        </w:drawing>
      </w:r>
    </w:p>
    <w:p>
      <w:r>
        <w:t>CHALLENGE  Create a provenance record for a mixed-media output.</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29 Worked case</w:t>
      </w:r>
    </w:p>
    <w:p>
      <w:r>
        <w:t>Use the supplied details to practise the weekly concept before attempting the independent question. This case extends the illustrated lesson.</w:t>
      </w:r>
    </w:p>
    <w:p>
      <w:pPr>
        <w:pStyle w:val="Heading3"/>
      </w:pPr>
      <w:r>
        <w:t>The situation</w:t>
      </w:r>
    </w:p>
    <w:p>
      <w:r>
        <w:t>A slide reuses an online photograph and textbook paragraph.</w:t>
      </w:r>
    </w:p>
    <w:p>
      <w:pPr>
        <w:pStyle w:val="Heading3"/>
      </w:pPr>
      <w:r>
        <w:t>The question</w:t>
      </w:r>
    </w:p>
    <w:p>
      <w:r>
        <w:t>What provenance and reuse checks are needed?</w:t>
      </w:r>
    </w:p>
    <w:p>
      <w:pPr>
        <w:pStyle w:val="Heading3"/>
      </w:pPr>
      <w:r>
        <w:t>Worked explanation</w:t>
      </w:r>
    </w:p>
    <w:p>
      <w:r>
        <w:t>Record creator, source, licence or permission, attribution requirements and modifications. Attribution alone is not permission; classroom context is not a universal exemption.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Provenance makes reuse conditions visible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Origin</w:t>
            </w:r>
          </w:p>
        </w:tc>
        <w:tc>
          <w:tcPr>
            <w:tcW w:type="dxa" w:w="5112"/>
          </w:tcPr>
          <w:p>
            <w:r>
              <w:t>Creator and source</w:t>
            </w:r>
          </w:p>
        </w:tc>
      </w:tr>
      <w:tr>
        <w:tc>
          <w:tcPr>
            <w:tcW w:type="dxa" w:w="5112"/>
          </w:tcPr>
          <w:p>
            <w:r>
              <w:t>Permission</w:t>
            </w:r>
          </w:p>
        </w:tc>
        <w:tc>
          <w:tcPr>
            <w:tcW w:type="dxa" w:w="5112"/>
          </w:tcPr>
          <w:p>
            <w:r>
              <w:t>Licence or explicit permission</w:t>
            </w:r>
          </w:p>
        </w:tc>
      </w:tr>
      <w:tr>
        <w:tc>
          <w:tcPr>
            <w:tcW w:type="dxa" w:w="5112"/>
          </w:tcPr>
          <w:p>
            <w:r>
              <w:t>Conditions</w:t>
            </w:r>
          </w:p>
        </w:tc>
        <w:tc>
          <w:tcPr>
            <w:tcW w:type="dxa" w:w="5112"/>
          </w:tcPr>
          <w:p>
            <w:r>
              <w:t>Attribution and other limits</w:t>
            </w:r>
          </w:p>
        </w:tc>
      </w:tr>
      <w:tr>
        <w:tc>
          <w:tcPr>
            <w:tcW w:type="dxa" w:w="5112"/>
          </w:tcPr>
          <w:p>
            <w:r>
              <w:t>Modifications</w:t>
            </w:r>
          </w:p>
        </w:tc>
        <w:tc>
          <w:tcPr>
            <w:tcW w:type="dxa" w:w="5112"/>
          </w:tcPr>
          <w:p>
            <w:r>
              <w:t>Record what changed</w:t>
            </w:r>
          </w:p>
        </w:tc>
      </w:tr>
    </w:tbl>
    <w:p>
      <w:r>
        <w:t>A slide reuses an online photograph and textbook paragraph.</w:t>
      </w:r>
    </w:p>
    <w:p>
      <w:r>
        <w:t>What provenance and reuse checks are needed?</w:t>
      </w:r>
    </w:p>
    <w:p>
      <w:r>
        <w:t>Record creator, source, licence or permission, attribution requirements and modifications. Attribution alone is not permission; classroom context is not a universal exemption.</w:t>
      </w:r>
    </w:p>
    <w:p>
      <w:pPr>
        <w:pStyle w:val="Heading1"/>
      </w:pPr>
      <w:r>
        <w:t>14. Try a new case independently</w:t>
      </w:r>
    </w:p>
    <w:p>
      <w:pPr>
        <w:pStyle w:val="Heading3"/>
      </w:pPr>
      <w:r>
        <w:t>Independent case: Apply a new case independently</w:t>
      </w:r>
    </w:p>
    <w:p>
      <w:r>
        <w:t>Text C permits internal reading only; D permits public quotation up to 30 words with attribution. Proposed public handout reproduces 40 words. Apply the fictional terms.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29 Independent application</w:t>
      </w:r>
    </w:p>
    <w:p>
      <w:r>
        <w:t>Close the worked explanation. Apply the idea to this different question without copying.</w:t>
      </w:r>
    </w:p>
    <w:p>
      <w:r>
        <w:t>You find an attractive illustration online with no license information. What should you record and check before reusing it in a public project?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Attach citations and provenance metadata to every Study Buddy learning asset.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project uses an image found through search. Its author is known but its licence is missing. Is naming the author enough to establish reuse permission? Describe a provenance record and next action.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Read fictional reuse terms before decorating a public study guide.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copyright and permitted sources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copyright and permitted sources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Read fictional reuse terms before decorating a public study guide.</w:t>
      </w:r>
    </w:p>
    <w:p>
      <w:pPr>
        <w:pStyle w:val="Heading3"/>
      </w:pPr>
      <w:r>
        <w:t>Practice 1: explain the deciding evidence</w:t>
      </w:r>
    </w:p>
    <w:p>
      <w:r>
        <w:t>Which labelled step matches this detail? Use Moss with its required attribution; do not crop Fern for this public guide.</w:t>
      </w:r>
    </w:p>
    <w:p>
      <w:r>
        <w:t>1. Choose eligible asset</w:t>
      </w:r>
    </w:p>
    <w:p>
      <w:r>
        <w:t>2. Read terms</w:t>
      </w:r>
    </w:p>
    <w:p>
      <w:r>
        <w:t>3. Match proposed use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Choose eligible asset Use Moss with its required attribution; do not crop Fern for this public guide. Read the picture in order. Use Moss with its required attribution; do not crop Fern for this public guide.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Use Fern unchanged and include the required attribution. Which conclusion is supported by the supplied facts?</w:t>
      </w:r>
    </w:p>
    <w:p>
      <w:r>
        <w:t>1. That use satisfies the stated fictional permission conditions.</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use satisfies the stated fictional permission conditions. Its public redistribution is permitted when there is no alteration and attribution is included.</w:t>
      </w:r>
    </w:p>
    <w:p>
      <w:pPr>
        <w:pStyle w:val="Heading3"/>
      </w:pPr>
      <w:r>
        <w:t>Repair a missing building block</w:t>
      </w:r>
    </w:p>
    <w:p>
      <w:r>
        <w:t>Review Privacy by Design (ai-3/28). Goal: Explain the mechanism and terminology of data retention and deletion. Short practice: Which IDs and locations must appear in the deletion evidence? Point to the relevant step in the picture, then write the changed result and the rule or evidence that supports it.. Return to this week and explain what you changed.</w:t>
      </w:r>
    </w:p>
    <w:p>
      <w:r>
        <w:t>Review Evaluation Sets (ai-3/26). Goal: Explain the mechanism and terminology of system evaluation sets. Short practice: Did the added cases demonstrate better answering? Point to the relevant step in the picture, then write the changed result and the rule or evidence that supports it.. Return to this week and explain what you changed.</w:t>
      </w:r>
    </w:p>
    <w:p>
      <w:r>
        <w:t>Review Block to Python Bridge (ai-3/23). Goal: Translate a short paper calculation into a Python script. Short practice: Trace the changed list and identify where the result differs.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