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ai-4/5</w:t>
      </w:r>
    </w:p>
    <w:p>
      <w:pPr>
        <w:pStyle w:val="Title"/>
      </w:pPr>
      <w:r>
        <w:t>Inspect Before Modeling</w:t>
      </w:r>
    </w:p>
    <w:p>
      <w:r>
        <w:t>Project: Responsible Plant Classifier</w:t>
      </w:r>
    </w:p>
    <w:p>
      <w:pPr>
        <w:pStyle w:val="Heading1"/>
      </w:pPr>
      <w:r>
        <w:t>Before you start</w:t>
      </w:r>
    </w:p>
    <w:p>
      <w:r>
        <w:t>AI-1 Week 21: preserve original data when investigating anomalies.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Python and Table Readiness.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Dataset shape, types, ranges, duplicates, and missingness determine whether modeling results can be trusted.</w:t>
      </w:r>
    </w:p>
    <w:p>
      <w:r>
        <w:drawing>
          <wp:inline xmlns:a="http://schemas.openxmlformats.org/drawingml/2006/main" xmlns:pic="http://schemas.openxmlformats.org/drawingml/2006/picture">
            <wp:extent cx="2942705" cy="2942705"/>
            <wp:docPr id="1" name="Picture 1"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LEARNING TARGET  A table contains 8 cm, -2 cm, missing and two copies of the same leaf photo. Propose a separate inspection for each issue.</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Readiness for Units conversions and data provenance</w:t>
      </w:r>
    </w:p>
    <w:p>
      <w:r>
        <w:t>How many minutes are 180 seconds?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inspect before modeling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MYSTERY  The team must use inspect before modeling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5 machine-learning flow stage 1"/>
            <wp:cNvGraphicFramePr>
              <a:graphicFrameLocks noChangeAspect="1"/>
            </wp:cNvGraphicFramePr>
            <a:graphic>
              <a:graphicData uri="http://schemas.openxmlformats.org/drawingml/2006/picture">
                <pic:pic>
                  <pic:nvPicPr>
                    <pic:cNvPr id="0" name="8f2b4c7d51c536bc5bfec64cfcbf0ccb35061fa13f16ee1071cba8882c83055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5 machine-learning flow stage 2"/>
            <wp:cNvGraphicFramePr>
              <a:graphicFrameLocks noChangeAspect="1"/>
            </wp:cNvGraphicFramePr>
            <a:graphic>
              <a:graphicData uri="http://schemas.openxmlformats.org/drawingml/2006/picture">
                <pic:pic>
                  <pic:nvPicPr>
                    <pic:cNvPr id="0" name="9b1c6d982e3e037cc8be606a4323718b07c476a41d395991d3d6465e4fe3df3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5 machine-learning flow stage 3"/>
            <wp:cNvGraphicFramePr>
              <a:graphicFrameLocks noChangeAspect="1"/>
            </wp:cNvGraphicFramePr>
            <a:graphic>
              <a:graphicData uri="http://schemas.openxmlformats.org/drawingml/2006/picture">
                <pic:pic>
                  <pic:nvPicPr>
                    <pic:cNvPr id="0" name="605c67dbb5002ff2d553f201350b946e9976308472bbfe9206948727a62589d8.png"/>
                    <pic:cNvPicPr/>
                  </pic:nvPicPr>
                  <pic:blipFill>
                    <a:blip r:embed="rId12"/>
                    <a:stretch>
                      <a:fillRect/>
                    </a:stretch>
                  </pic:blipFill>
                  <pic:spPr>
                    <a:xfrm>
                      <a:off x="0" y="0"/>
                      <a:ext cx="5237018" cy="3200400"/>
                    </a:xfrm>
                    <a:prstGeom prst="rect"/>
                  </pic:spPr>
                </pic:pic>
              </a:graphicData>
            </a:graphic>
          </wp:inline>
        </w:drawing>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Apply the connected idea: Units conversions and data provenance</w:t>
      </w:r>
    </w:p>
    <w:p>
      <w:r>
        <w:rPr>
          <w:rFonts w:ascii="Courier New" w:hAnsi="Courier New"/>
          <w:sz w:val="18"/>
        </w:rPr>
        <w:t>rows = [{"source": "A", "value": 180, "unit": "s"},</w:t>
        <w:br/>
        <w:t xml:space="preserve">        {"source": "B", "value": 4, "unit": "min"}]</w:t>
        <w:br/>
        <w:t>minutes = []</w:t>
        <w:br/>
        <w:t>for row in rows:</w:t>
        <w:br/>
        <w:t xml:space="preserve">    if row["unit"] == "s":</w:t>
        <w:br/>
        <w:t xml:space="preserve">        minutes.append(row["value"] / 60)</w:t>
        <w:br/>
        <w:t xml:space="preserve">    elif row["unit"] == "min":</w:t>
        <w:br/>
        <w:t xml:space="preserve">        minutes.append(row["value"])</w:t>
        <w:br/>
        <w:t xml:space="preserve">    else:</w:t>
        <w:br/>
        <w:t xml:space="preserve">        minutes.append(None)</w:t>
        <w:br/>
        <w:t>print(minutes)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 raw</w:t>
            </w:r>
          </w:p>
        </w:tc>
        <w:tc>
          <w:tcPr>
            <w:tcW w:type="dxa" w:w="3408"/>
          </w:tcPr>
          <w:p>
            <w:r>
              <w:t>180 seconds</w:t>
            </w:r>
          </w:p>
        </w:tc>
        <w:tc>
          <w:tcPr>
            <w:tcW w:type="dxa" w:w="3408"/>
          </w:tcPr>
          <w:p>
            <w:r>
              <w:t>3.0 minutes</w:t>
            </w:r>
          </w:p>
        </w:tc>
      </w:tr>
      <w:tr>
        <w:tc>
          <w:tcPr>
            <w:tcW w:type="dxa" w:w="3408"/>
          </w:tcPr>
          <w:p>
            <w:r>
              <w:t>B raw</w:t>
            </w:r>
          </w:p>
        </w:tc>
        <w:tc>
          <w:tcPr>
            <w:tcW w:type="dxa" w:w="3408"/>
          </w:tcPr>
          <w:p>
            <w:r>
              <w:t>4 minutes</w:t>
            </w:r>
          </w:p>
        </w:tc>
        <w:tc>
          <w:tcPr>
            <w:tcW w:type="dxa" w:w="3408"/>
          </w:tcPr>
          <w:p>
            <w:r>
              <w:t>4 minutes</w:t>
            </w:r>
          </w:p>
        </w:tc>
      </w:tr>
    </w:tbl>
    <w:p>
      <w:r>
        <w:t>Read each row from left to right and connect the evidence to the stated rule.</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pPr>
        <w:pStyle w:val="Heading3"/>
      </w:pPr>
      <w:r>
        <w:t>Convert before comparing</w:t>
      </w:r>
    </w:p>
    <w:p>
      <w:r>
        <w:t>A minute contains 60 seconds. To express 180 seconds in minutes, divide 180 by 60 to get 3 minutes. The other value is already 4 minutes, so leave it at 4. Now both quantities use the same unit and can be compared. Keep the original number, unit and source beside the converted number. That record lets another person check whether you converted the correct measurement in the correct direction.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hape, number of rows and columns"/>
            <wp:cNvGraphicFramePr>
              <a:graphicFrameLocks noChangeAspect="1"/>
            </wp:cNvGraphicFramePr>
            <a:graphic>
              <a:graphicData uri="http://schemas.openxmlformats.org/drawingml/2006/picture">
                <pic:pic>
                  <pic:nvPicPr>
                    <pic:cNvPr id="0" name="83b555686ad1312399a7c11b316b50864d7db8df0a85c4bdacee2e5a957a19c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ange, smallest to largest plausible value"/>
            <wp:cNvGraphicFramePr>
              <a:graphicFrameLocks noChangeAspect="1"/>
            </wp:cNvGraphicFramePr>
            <a:graphic>
              <a:graphicData uri="http://schemas.openxmlformats.org/drawingml/2006/picture">
                <pic:pic>
                  <pic:nvPicPr>
                    <pic:cNvPr id="0" name="1d6c58c93ea28aa752de7f9c2b7cf6656c32a280f53caa43774e1bc13e16d7a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uplicate, repeated example or record"/>
            <wp:cNvGraphicFramePr>
              <a:graphicFrameLocks noChangeAspect="1"/>
            </wp:cNvGraphicFramePr>
            <a:graphic>
              <a:graphicData uri="http://schemas.openxmlformats.org/drawingml/2006/picture">
                <pic:pic>
                  <pic:nvPicPr>
                    <pic:cNvPr id="0" name="f5ae43caece717d0447a1db0aa6f7a18cf2e2f721bd358f23d541b8129a3ef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ssingness, where values are absent"/>
            <wp:cNvGraphicFramePr>
              <a:graphicFrameLocks noChangeAspect="1"/>
            </wp:cNvGraphicFramePr>
            <a:graphic>
              <a:graphicData uri="http://schemas.openxmlformats.org/drawingml/2006/picture">
                <pic:pic>
                  <pic:nvPicPr>
                    <pic:cNvPr id="0" name="33b42bd03442698220274a14e675a3c894a451d594df66b4bd18322efcfa2bb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shape</w:t>
            </w:r>
          </w:p>
        </w:tc>
        <w:tc>
          <w:tcPr>
            <w:tcW w:type="dxa" w:w="3408"/>
          </w:tcPr>
          <w:p>
            <w:r>
              <w:t>number of rows and columns</w:t>
            </w:r>
          </w:p>
        </w:tc>
        <w:tc>
          <w:tcPr>
            <w:tcW w:type="dxa" w:w="3408"/>
          </w:tcPr>
          <w:p>
            <w:r/>
          </w:p>
        </w:tc>
      </w:tr>
      <w:tr>
        <w:tc>
          <w:tcPr>
            <w:tcW w:type="dxa" w:w="3408"/>
          </w:tcPr>
          <w:p>
            <w:r>
              <w:t>range</w:t>
            </w:r>
          </w:p>
        </w:tc>
        <w:tc>
          <w:tcPr>
            <w:tcW w:type="dxa" w:w="3408"/>
          </w:tcPr>
          <w:p>
            <w:r>
              <w:t>smallest to largest plausible value</w:t>
            </w:r>
          </w:p>
        </w:tc>
        <w:tc>
          <w:tcPr>
            <w:tcW w:type="dxa" w:w="3408"/>
          </w:tcPr>
          <w:p>
            <w:r/>
          </w:p>
        </w:tc>
      </w:tr>
      <w:tr>
        <w:tc>
          <w:tcPr>
            <w:tcW w:type="dxa" w:w="3408"/>
          </w:tcPr>
          <w:p>
            <w:r>
              <w:t>duplicate</w:t>
            </w:r>
          </w:p>
        </w:tc>
        <w:tc>
          <w:tcPr>
            <w:tcW w:type="dxa" w:w="3408"/>
          </w:tcPr>
          <w:p>
            <w:r>
              <w:t>repeated example or record</w:t>
            </w:r>
          </w:p>
        </w:tc>
        <w:tc>
          <w:tcPr>
            <w:tcW w:type="dxa" w:w="3408"/>
          </w:tcPr>
          <w:p>
            <w:r/>
          </w:p>
        </w:tc>
      </w:tr>
      <w:tr>
        <w:tc>
          <w:tcPr>
            <w:tcW w:type="dxa" w:w="3408"/>
          </w:tcPr>
          <w:p>
            <w:r>
              <w:t>missingness</w:t>
            </w:r>
          </w:p>
        </w:tc>
        <w:tc>
          <w:tcPr>
            <w:tcW w:type="dxa" w:w="3408"/>
          </w:tcPr>
          <w:p>
            <w:r>
              <w:t>where values are absent</w:t>
            </w:r>
          </w:p>
        </w:tc>
        <w:tc>
          <w:tcPr>
            <w:tcW w:type="dxa" w:w="3408"/>
          </w:tcPr>
          <w:p>
            <w:r/>
          </w:p>
        </w:tc>
      </w:tr>
    </w:tbl>
    <w:p>
      <w:r>
        <w:t>MISCONCEPTION TO REPAIR  A model will automatically ignore harmless data-quality problems.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Terms for Units conversions and data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The origin and processing history of data</w:t>
            </w:r>
          </w:p>
        </w:tc>
      </w:tr>
      <w:tr>
        <w:tc>
          <w:tcPr>
            <w:tcW w:type="dxa" w:w="5112"/>
          </w:tcPr>
          <w:p>
            <w:r>
              <w:t>Conversion</w:t>
            </w:r>
          </w:p>
        </w:tc>
        <w:tc>
          <w:tcPr>
            <w:tcW w:type="dxa" w:w="5112"/>
          </w:tcPr>
          <w:p>
            <w:r>
              <w:t>Expressing a quantity in another unit</w:t>
            </w:r>
          </w:p>
        </w:tc>
      </w:tr>
      <w:tr>
        <w:tc>
          <w:tcPr>
            <w:tcW w:type="dxa" w:w="5112"/>
          </w:tcPr>
          <w:p>
            <w:r>
              <w:t>Raw value</w:t>
            </w:r>
          </w:p>
        </w:tc>
        <w:tc>
          <w:tcPr>
            <w:tcW w:type="dxa" w:w="5112"/>
          </w:tcPr>
          <w:p>
            <w:r>
              <w:t>The value as originally recorded</w:t>
            </w:r>
          </w:p>
        </w:tc>
      </w:tr>
      <w:tr>
        <w:tc>
          <w:tcPr>
            <w:tcW w:type="dxa" w:w="5112"/>
          </w:tcPr>
          <w:p>
            <w:r>
              <w:t>Derived value</w:t>
            </w:r>
          </w:p>
        </w:tc>
        <w:tc>
          <w:tcPr>
            <w:tcW w:type="dxa" w:w="5112"/>
          </w:tcPr>
          <w:p>
            <w:r>
              <w:t>A value calculated from recorded data</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5: Inspect Before Modeling"/>
            <wp:cNvGraphicFramePr>
              <a:graphicFrameLocks noChangeAspect="1"/>
            </wp:cNvGraphicFramePr>
            <a:graphic>
              <a:graphicData uri="http://schemas.openxmlformats.org/drawingml/2006/picture">
                <pic:pic>
                  <pic:nvPicPr>
                    <pic:cNvPr id="0" name="597614a32c91a53f1b98038471be5a29d393693e22b5bf5793b63b42bca34773.png"/>
                    <pic:cNvPicPr/>
                  </pic:nvPicPr>
                  <pic:blipFill>
                    <a:blip r:embed="rId21"/>
                    <a:stretch>
                      <a:fillRect/>
                    </a:stretch>
                  </pic:blipFill>
                  <pic:spPr>
                    <a:xfrm>
                      <a:off x="0" y="0"/>
                      <a:ext cx="5486400" cy="2523744"/>
                    </a:xfrm>
                    <a:prstGeom prst="rect"/>
                  </pic:spPr>
                </pic:pic>
              </a:graphicData>
            </a:graphic>
          </wp:inline>
        </w:drawing>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pPr>
        <w:pStyle w:val="Heading3"/>
      </w:pPr>
      <w:r>
        <w:t>Convert 90 seconds and 0 seconds. Which is longer: 90 seconds or 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r>
        <w:t>Read the labelled picture: Which original information should the inspection log preserve? Point to the relevant step in the picture, then write the changed result and the rule or evidence that supports it.</w:t>
      </w:r>
    </w:p>
    <w:p>
      <w:r>
        <w:t>Change one thing: The teacher confirms B’s second row is an accidental duplicate.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5"/>
            <wp:cNvGraphicFramePr>
              <a:graphicFrameLocks noChangeAspect="1"/>
            </wp:cNvGraphicFramePr>
            <a:graphic>
              <a:graphicData uri="http://schemas.openxmlformats.org/drawingml/2006/picture">
                <pic:pic>
                  <pic:nvPicPr>
                    <pic:cNvPr id="0" name="858628b223b83b1b31d32fc7a2903bdc33985b5f7f1495aca4070c6cfddb175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model will automatically ignore harmless data-quality problems.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r>
        <w:t>Correct conversion does not establish that the sources measured the same activity, used the same start and stop rules, or are accurate. Provenance helps someone investigate those differences.</w:t>
      </w:r>
    </w:p>
    <w:p>
      <w:pPr>
        <w:pStyle w:val="Heading3"/>
      </w:pPr>
      <w:r>
        <w:t>A record contains value 8 and unit ticks with no conversion rule. Should you assume seconds?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Apply the connected idea: Units conversions and data provenance</w:t>
      </w:r>
    </w:p>
    <w:p>
      <w:r>
        <w:t>Comparing raw 180 to raw 4 ignores their units. Dividing 4 by 60 without checking its unit is also wrong: it was already minutes. Branch on the documented unit and keep a conversion note.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Units conversions and data provenance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original information should the inspection log preserve?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5"/>
            <wp:cNvGraphicFramePr>
              <a:graphicFrameLocks noChangeAspect="1"/>
            </wp:cNvGraphicFramePr>
            <a:graphic>
              <a:graphicData uri="http://schemas.openxmlformats.org/drawingml/2006/picture">
                <pic:pic>
                  <pic:nvPicPr>
                    <pic:cNvPr id="0" name="291c3971f18181181f831bc0e0bf376ffa7293fc090ddd7a674c4ef5007bc659.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shape, range, duplicate, missingness.</w:t>
      </w:r>
    </w:p>
    <w:p>
      <w:r>
        <w:t>CALCULATE  Reproduce the worked evidence with units and denominator.</w:t>
      </w:r>
    </w:p>
    <w:p>
      <w:r>
        <w:t>TRACE  Explain the data, code or decision path.</w:t>
      </w:r>
    </w:p>
    <w:p>
      <w:r>
        <w:t>DIAGNOSE  A model will automatically ignore harmless data-quality problems.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5"/>
            <wp:cNvGraphicFramePr>
              <a:graphicFrameLocks noChangeAspect="1"/>
            </wp:cNvGraphicFramePr>
            <a:graphic>
              <a:graphicData uri="http://schemas.openxmlformats.org/drawingml/2006/picture">
                <pic:pic>
                  <pic:nvPicPr>
                    <pic:cNvPr id="0" name="c398b7b15a75e98602a892e1b35939074af65c26462128eb94104c21d0d7ea21.png"/>
                    <pic:cNvPicPr/>
                  </pic:nvPicPr>
                  <pic:blipFill>
                    <a:blip r:embed="rId27"/>
                    <a:stretch>
                      <a:fillRect/>
                    </a:stretch>
                  </pic:blipFill>
                  <pic:spPr>
                    <a:xfrm>
                      <a:off x="0" y="0"/>
                      <a:ext cx="5486400" cy="2048256"/>
                    </a:xfrm>
                    <a:prstGeom prst="rect"/>
                  </pic:spPr>
                </pic:pic>
              </a:graphicData>
            </a:graphic>
          </wp:inline>
        </w:drawing>
      </w:r>
    </w:p>
    <w:p>
      <w:r>
        <w:t>THIS WEEK'S CHECKPOINT  Audit the Plant Classifier table and attach a data-quality report before any baseline or model is trained.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5"/>
            <wp:cNvGraphicFramePr>
              <a:graphicFrameLocks noChangeAspect="1"/>
            </wp:cNvGraphicFramePr>
            <a:graphic>
              <a:graphicData uri="http://schemas.openxmlformats.org/drawingml/2006/picture">
                <pic:pic>
                  <pic:nvPicPr>
                    <pic:cNvPr id="0" name="60ce7fd3e254b65326d9f7df3a2e299aa505acc372fe9f52f39756de5677eeaf.png"/>
                    <pic:cNvPicPr/>
                  </pic:nvPicPr>
                  <pic:blipFill>
                    <a:blip r:embed="rId28"/>
                    <a:stretch>
                      <a:fillRect/>
                    </a:stretch>
                  </pic:blipFill>
                  <pic:spPr>
                    <a:xfrm>
                      <a:off x="0" y="0"/>
                      <a:ext cx="5486400" cy="2048256"/>
                    </a:xfrm>
                    <a:prstGeom prst="rect"/>
                  </pic:spPr>
                </pic:pic>
              </a:graphicData>
            </a:graphic>
          </wp:inline>
        </w:drawing>
      </w:r>
    </w:p>
    <w:p>
      <w:r>
        <w:t>REQUIRED PROOF  Produce a data-quality report before fitting any model.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Label Quality.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Lengths include 5 cm, blank and -3 cm, plus a duplicate photo row.</w:t>
      </w:r>
    </w:p>
    <w:p>
      <w:pPr>
        <w:pStyle w:val="Heading3"/>
      </w:pPr>
      <w:r>
        <w:t>The question</w:t>
      </w:r>
    </w:p>
    <w:p>
      <w:r>
        <w:t>Name checks and a deletion risk.</w:t>
      </w:r>
    </w:p>
    <w:p>
      <w:pPr>
        <w:pStyle w:val="Heading3"/>
      </w:pPr>
      <w:r>
        <w:t>Worked explanation</w:t>
      </w:r>
    </w:p>
    <w:p>
      <w:r>
        <w:t>Check missingness, physical validity, units and duplicate identity. Investigate and document repair. Blind deletion can disproportionately remove a relevant condition.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Inspect data before choosing repairs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5 cm</w:t>
            </w:r>
          </w:p>
        </w:tc>
        <w:tc>
          <w:tcPr>
            <w:tcW w:type="dxa" w:w="5112"/>
          </w:tcPr>
          <w:p>
            <w:r>
              <w:t>Physically plausible</w:t>
            </w:r>
          </w:p>
        </w:tc>
      </w:tr>
      <w:tr>
        <w:tc>
          <w:tcPr>
            <w:tcW w:type="dxa" w:w="5112"/>
          </w:tcPr>
          <w:p>
            <w:r>
              <w:t>Blank</w:t>
            </w:r>
          </w:p>
        </w:tc>
        <w:tc>
          <w:tcPr>
            <w:tcW w:type="dxa" w:w="5112"/>
          </w:tcPr>
          <w:p>
            <w:r>
              <w:t>Missing measurement</w:t>
            </w:r>
          </w:p>
        </w:tc>
      </w:tr>
      <w:tr>
        <w:tc>
          <w:tcPr>
            <w:tcW w:type="dxa" w:w="5112"/>
          </w:tcPr>
          <w:p>
            <w:r>
              <w:t>−3 cm</w:t>
            </w:r>
          </w:p>
        </w:tc>
        <w:tc>
          <w:tcPr>
            <w:tcW w:type="dxa" w:w="5112"/>
          </w:tcPr>
          <w:p>
            <w:r>
              <w:t>Invalid length</w:t>
            </w:r>
          </w:p>
        </w:tc>
      </w:tr>
      <w:tr>
        <w:tc>
          <w:tcPr>
            <w:tcW w:type="dxa" w:w="5112"/>
          </w:tcPr>
          <w:p>
            <w:r>
              <w:t>Duplicate photo</w:t>
            </w:r>
          </w:p>
        </w:tc>
        <w:tc>
          <w:tcPr>
            <w:tcW w:type="dxa" w:w="5112"/>
          </w:tcPr>
          <w:p>
            <w:r>
              <w:t>Check record identity</w:t>
            </w:r>
          </w:p>
        </w:tc>
      </w:tr>
    </w:tbl>
    <w:p>
      <w:r>
        <w:t>Lengths include 5 cm, blank and -3 cm, plus a duplicate photo row.</w:t>
      </w:r>
    </w:p>
    <w:p>
      <w:r>
        <w:t>Name checks and a deletion risk.</w:t>
      </w:r>
    </w:p>
    <w:p>
      <w:r>
        <w:t>Check missingness, physical validity, units and duplicate identity. Investigate and document repair. Blind deletion can disproportionately remove a relevant condition.</w:t>
      </w:r>
    </w:p>
    <w:p>
      <w:pPr>
        <w:pStyle w:val="Heading1"/>
      </w:pPr>
      <w:r>
        <w:t>14. Try a new case independently</w:t>
      </w:r>
    </w:p>
    <w:p>
      <w:pPr>
        <w:pStyle w:val="Heading3"/>
      </w:pPr>
      <w:r>
        <w:t>Independent case: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A table has height_cm values 12, 15, -8 and a blank. Identify two issues and a suitable first 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Plant Classifier table and attach a data-quality report before any baseline or model is trained.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contains 8 cm, -2 cm, missing and two copies of the same leaf photo. Propose a separate inspection for each issue.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Spot a duplicate, an impossible value and a valid boundary before fitting.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Spot a duplicate, an impossible value and a valid boundary before fitting.</w:t>
      </w:r>
    </w:p>
    <w:p>
      <w:pPr>
        <w:pStyle w:val="Heading3"/>
      </w:pPr>
      <w:r>
        <w:t>Practice 1: explain the deciding evidence</w:t>
      </w:r>
    </w:p>
    <w:p>
      <w:r>
        <w:t>Which labelled step matches this detail? Flag duplicate B and invalid C. Do not count B twice or silently replace C.</w:t>
      </w:r>
    </w:p>
    <w:p>
      <w:r>
        <w:t>1. Flag before fitting</w:t>
      </w:r>
    </w:p>
    <w:p>
      <w:r>
        <w:t>2. Count rows</w:t>
      </w:r>
    </w:p>
    <w:p>
      <w:r>
        <w:t>3. Check schema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Flag before fitting Flag duplicate B and invalid C. Do not count B twice or silently replace C. 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teacher confirms B’s second row is an accidental duplicate. Which conclusion is supported by the supplied facts?</w:t>
      </w:r>
    </w:p>
    <w:p>
      <w:r>
        <w:t>1. We can decide the result without examining the changed input or the procedure.</w:t>
      </w:r>
    </w:p>
    <w:p>
      <w:r>
        <w:t>2. This one example guarantees correct results for every future input.</w:t>
      </w:r>
    </w:p>
    <w:p>
      <w:r>
        <w:t>3. Remove that duplicate with a recorded reason; C still needs correction or explicit exclusion.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Remove that duplicate with a recorded reason; C still needs correction or explicit exclusion. Resolving one defect does not resolve a separate impossible measurement.</w:t>
      </w:r>
    </w:p>
    <w:p>
      <w:pPr>
        <w:pStyle w:val="Heading3"/>
      </w:pPr>
      <w:r>
        <w:t>Repair a missing building block</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